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bookmarkStart w:id="8" w:name="_GoBack"/>
      <w:bookmarkEnd w:id="8"/>
    </w:p>
    <w:p>
      <w:pPr>
        <w:keepNext w:val="0"/>
        <w:keepLines w:val="0"/>
        <w:pageBreakBefore w:val="0"/>
        <w:widowControl w:val="0"/>
        <w:kinsoku/>
        <w:wordWrap/>
        <w:overflowPunct/>
        <w:topLinePunct w:val="0"/>
        <w:autoSpaceDE/>
        <w:autoSpaceDN/>
        <w:bidi w:val="0"/>
        <w:adjustRightInd/>
        <w:snapToGrid/>
        <w:spacing w:line="600" w:lineRule="atLeast"/>
        <w:jc w:val="center"/>
        <w:textAlignment w:val="auto"/>
        <w:rPr>
          <w:rFonts w:hint="eastAsia" w:ascii="宋体" w:hAnsi="宋体" w:eastAsia="宋体" w:cs="宋体"/>
          <w:b/>
          <w:bCs/>
          <w:color w:val="auto"/>
          <w:sz w:val="44"/>
          <w:szCs w:val="44"/>
          <w:lang w:val="en-US" w:eastAsia="zh-CN"/>
        </w:rPr>
      </w:pPr>
    </w:p>
    <w:p>
      <w:pPr>
        <w:pStyle w:val="2"/>
        <w:rPr>
          <w:rFonts w:hint="eastAsia" w:ascii="宋体" w:hAnsi="宋体" w:eastAsia="宋体" w:cs="宋体"/>
          <w:b/>
          <w:bCs/>
          <w:color w:val="auto"/>
          <w:sz w:val="44"/>
          <w:szCs w:val="44"/>
          <w:lang w:val="en-US" w:eastAsia="zh-CN"/>
        </w:rPr>
      </w:pPr>
    </w:p>
    <w:p>
      <w:pPr>
        <w:rPr>
          <w:rFonts w:hint="eastAsia"/>
          <w:lang w:val="en-US" w:eastAsia="zh-CN"/>
        </w:rPr>
      </w:pPr>
    </w:p>
    <w:p>
      <w:pPr>
        <w:rPr>
          <w:rFonts w:hint="eastAsia" w:ascii="宋体" w:hAnsi="宋体" w:eastAsia="宋体" w:cs="宋体"/>
          <w:b/>
          <w:bCs/>
          <w:color w:val="auto"/>
          <w:sz w:val="44"/>
          <w:szCs w:val="44"/>
          <w:lang w:val="en-US" w:eastAsia="zh-CN"/>
        </w:rPr>
      </w:pPr>
    </w:p>
    <w:p>
      <w:pPr>
        <w:jc w:val="center"/>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铁地委办发[2022]3号</w:t>
      </w:r>
    </w:p>
    <w:p>
      <w:pPr>
        <w:keepNext w:val="0"/>
        <w:keepLines w:val="0"/>
        <w:pageBreakBefore w:val="0"/>
        <w:widowControl w:val="0"/>
        <w:kinsoku/>
        <w:wordWrap/>
        <w:overflowPunct/>
        <w:topLinePunct w:val="0"/>
        <w:autoSpaceDE/>
        <w:autoSpaceDN/>
        <w:bidi w:val="0"/>
        <w:adjustRightInd/>
        <w:snapToGrid/>
        <w:spacing w:line="600" w:lineRule="atLeast"/>
        <w:jc w:val="center"/>
        <w:textAlignment w:val="auto"/>
        <w:rPr>
          <w:rFonts w:hint="eastAsia" w:ascii="宋体" w:hAnsi="宋体" w:eastAsia="宋体" w:cs="宋体"/>
          <w:b/>
          <w:bCs/>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atLeast"/>
        <w:jc w:val="center"/>
        <w:textAlignment w:val="auto"/>
        <w:rPr>
          <w:rFonts w:hint="eastAsia" w:ascii="宋体" w:hAnsi="宋体" w:eastAsia="宋体" w:cs="宋体"/>
          <w:b w:val="0"/>
          <w:bCs w:val="0"/>
          <w:color w:val="auto"/>
          <w:sz w:val="44"/>
          <w:szCs w:val="44"/>
          <w:lang w:val="en-US" w:eastAsia="zh-CN"/>
        </w:rPr>
      </w:pPr>
      <w:r>
        <w:rPr>
          <w:rFonts w:hint="eastAsia" w:ascii="宋体" w:hAnsi="宋体" w:eastAsia="宋体" w:cs="宋体"/>
          <w:b w:val="0"/>
          <w:bCs w:val="0"/>
          <w:color w:val="auto"/>
          <w:sz w:val="44"/>
          <w:szCs w:val="44"/>
          <w:lang w:val="en-US" w:eastAsia="zh-CN"/>
        </w:rPr>
        <w:t>关</w:t>
      </w:r>
      <w:r>
        <w:rPr>
          <w:rFonts w:hint="eastAsia" w:ascii="宋体" w:hAnsi="宋体" w:cs="宋体"/>
          <w:b w:val="0"/>
          <w:bCs w:val="0"/>
          <w:color w:val="auto"/>
          <w:sz w:val="44"/>
          <w:szCs w:val="44"/>
          <w:lang w:val="en-US" w:eastAsia="zh-CN"/>
        </w:rPr>
        <w:t>于公</w:t>
      </w:r>
      <w:r>
        <w:rPr>
          <w:rFonts w:hint="eastAsia" w:ascii="宋体" w:hAnsi="宋体" w:eastAsia="宋体" w:cs="宋体"/>
          <w:b w:val="0"/>
          <w:bCs w:val="0"/>
          <w:color w:val="auto"/>
          <w:sz w:val="44"/>
          <w:szCs w:val="44"/>
          <w:lang w:val="en-US" w:eastAsia="zh-CN"/>
        </w:rPr>
        <w:t>布</w:t>
      </w:r>
      <w:r>
        <w:rPr>
          <w:rFonts w:hint="eastAsia" w:ascii="宋体" w:hAnsi="宋体" w:cs="宋体"/>
          <w:b w:val="0"/>
          <w:bCs w:val="0"/>
          <w:color w:val="auto"/>
          <w:sz w:val="44"/>
          <w:szCs w:val="44"/>
          <w:lang w:val="en-US" w:eastAsia="zh-CN"/>
        </w:rPr>
        <w:t>铁岭</w:t>
      </w:r>
      <w:r>
        <w:rPr>
          <w:rFonts w:hint="eastAsia" w:ascii="宋体" w:hAnsi="宋体" w:eastAsia="宋体" w:cs="宋体"/>
          <w:b w:val="0"/>
          <w:bCs w:val="0"/>
          <w:color w:val="auto"/>
          <w:sz w:val="44"/>
          <w:szCs w:val="44"/>
          <w:lang w:val="en-US" w:eastAsia="zh-CN"/>
        </w:rPr>
        <w:t>市本级</w:t>
      </w:r>
    </w:p>
    <w:p>
      <w:pPr>
        <w:keepNext w:val="0"/>
        <w:keepLines w:val="0"/>
        <w:pageBreakBefore w:val="0"/>
        <w:widowControl w:val="0"/>
        <w:kinsoku/>
        <w:wordWrap/>
        <w:overflowPunct/>
        <w:topLinePunct w:val="0"/>
        <w:autoSpaceDE/>
        <w:autoSpaceDN/>
        <w:bidi w:val="0"/>
        <w:adjustRightInd/>
        <w:snapToGrid/>
        <w:spacing w:line="600" w:lineRule="atLeast"/>
        <w:jc w:val="center"/>
        <w:textAlignment w:val="auto"/>
        <w:rPr>
          <w:rFonts w:hint="eastAsia" w:ascii="宋体" w:hAnsi="宋体" w:eastAsia="宋体" w:cs="宋体"/>
          <w:b w:val="0"/>
          <w:bCs w:val="0"/>
          <w:i w:val="0"/>
          <w:caps w:val="0"/>
          <w:color w:val="auto"/>
          <w:spacing w:val="0"/>
          <w:sz w:val="44"/>
          <w:szCs w:val="44"/>
          <w:u w:val="none"/>
          <w:shd w:val="clear" w:color="auto" w:fill="FFFFFF"/>
        </w:rPr>
      </w:pPr>
      <w:r>
        <w:rPr>
          <w:rFonts w:hint="eastAsia" w:ascii="宋体" w:hAnsi="宋体" w:eastAsia="宋体" w:cs="宋体"/>
          <w:b w:val="0"/>
          <w:bCs w:val="0"/>
          <w:color w:val="auto"/>
          <w:sz w:val="44"/>
          <w:szCs w:val="44"/>
          <w:lang w:val="en-US" w:eastAsia="zh-CN"/>
        </w:rPr>
        <w:t>集体建设用地</w:t>
      </w:r>
      <w:r>
        <w:rPr>
          <w:rFonts w:hint="eastAsia" w:ascii="宋体" w:hAnsi="宋体" w:eastAsia="宋体" w:cs="宋体"/>
          <w:b w:val="0"/>
          <w:bCs w:val="0"/>
          <w:i w:val="0"/>
          <w:caps w:val="0"/>
          <w:color w:val="auto"/>
          <w:spacing w:val="0"/>
          <w:sz w:val="44"/>
          <w:szCs w:val="44"/>
          <w:u w:val="none"/>
          <w:shd w:val="clear" w:color="auto" w:fill="FFFFFF"/>
        </w:rPr>
        <w:t>和集体农用地</w:t>
      </w:r>
    </w:p>
    <w:p>
      <w:pPr>
        <w:keepNext w:val="0"/>
        <w:keepLines w:val="0"/>
        <w:pageBreakBefore w:val="0"/>
        <w:widowControl w:val="0"/>
        <w:kinsoku/>
        <w:wordWrap/>
        <w:overflowPunct/>
        <w:topLinePunct w:val="0"/>
        <w:autoSpaceDE/>
        <w:autoSpaceDN/>
        <w:bidi w:val="0"/>
        <w:adjustRightInd/>
        <w:snapToGrid/>
        <w:spacing w:line="600" w:lineRule="atLeast"/>
        <w:jc w:val="center"/>
        <w:textAlignment w:val="auto"/>
        <w:rPr>
          <w:rFonts w:hint="eastAsia" w:ascii="宋体" w:hAnsi="宋体" w:eastAsia="宋体" w:cs="宋体"/>
          <w:b w:val="0"/>
          <w:bCs w:val="0"/>
          <w:color w:val="auto"/>
          <w:sz w:val="44"/>
          <w:szCs w:val="44"/>
          <w:lang w:val="en-US" w:eastAsia="zh-CN"/>
        </w:rPr>
      </w:pPr>
      <w:r>
        <w:rPr>
          <w:rFonts w:hint="eastAsia" w:ascii="宋体" w:hAnsi="宋体" w:eastAsia="宋体" w:cs="宋体"/>
          <w:b w:val="0"/>
          <w:bCs w:val="0"/>
          <w:color w:val="auto"/>
          <w:sz w:val="44"/>
          <w:szCs w:val="44"/>
          <w:lang w:val="en-US" w:eastAsia="zh-CN"/>
        </w:rPr>
        <w:t>基准地价标准的通知</w:t>
      </w:r>
    </w:p>
    <w:p>
      <w:pPr>
        <w:jc w:val="left"/>
        <w:rPr>
          <w:rFonts w:hint="eastAsia" w:ascii="仿宋" w:hAnsi="仿宋" w:eastAsia="仿宋" w:cs="仿宋"/>
          <w:b w:val="0"/>
          <w:bCs w:val="0"/>
          <w:color w:val="auto"/>
          <w:sz w:val="32"/>
          <w:szCs w:val="32"/>
          <w:lang w:val="en-US" w:eastAsia="zh-CN"/>
        </w:rPr>
      </w:pPr>
    </w:p>
    <w:p>
      <w:pPr>
        <w:pageBreakBefore w:val="0"/>
        <w:kinsoku/>
        <w:wordWrap/>
        <w:overflowPunct/>
        <w:topLinePunct w:val="0"/>
        <w:autoSpaceDE/>
        <w:autoSpaceDN/>
        <w:bidi w:val="0"/>
        <w:adjustRightInd w:val="0"/>
        <w:snapToGrid/>
        <w:spacing w:line="600" w:lineRule="exact"/>
        <w:jc w:val="left"/>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铁岭县自然资源局、银州分局、市自然资源事务服务中心：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b w:val="0"/>
          <w:bCs w:val="0"/>
          <w:color w:val="auto"/>
          <w:sz w:val="32"/>
          <w:szCs w:val="32"/>
          <w:lang w:val="en-US" w:eastAsia="zh-CN"/>
        </w:rPr>
        <w:t>依据《国土资源部办公厅关于加强公示地价体系建设和管理有关问题的通知》（国土资厅〔2017〕27号）、《自然资源部办公厅关于部署开展2020年度自然资源评价评估工作的通知》（自然资办发〔2020〕23号）的有关规定，</w:t>
      </w:r>
      <w:r>
        <w:rPr>
          <w:rFonts w:hint="eastAsia" w:ascii="仿宋_GB2312" w:hAnsi="仿宋_GB2312" w:eastAsia="仿宋_GB2312" w:cs="仿宋_GB2312"/>
          <w:i w:val="0"/>
          <w:caps w:val="0"/>
          <w:color w:val="auto"/>
          <w:spacing w:val="0"/>
          <w:sz w:val="32"/>
          <w:szCs w:val="32"/>
          <w:u w:val="none"/>
          <w:shd w:val="clear" w:color="auto" w:fill="FFFFFF"/>
        </w:rPr>
        <w:t>为建立城乡统一的建设用地市场,加强农村集体土地资产管理,我市研究确定了</w:t>
      </w:r>
      <w:r>
        <w:rPr>
          <w:rFonts w:hint="eastAsia" w:ascii="仿宋_GB2312" w:hAnsi="仿宋_GB2312" w:eastAsia="仿宋_GB2312" w:cs="仿宋_GB2312"/>
          <w:i w:val="0"/>
          <w:caps w:val="0"/>
          <w:color w:val="auto"/>
          <w:spacing w:val="0"/>
          <w:sz w:val="32"/>
          <w:szCs w:val="32"/>
          <w:u w:val="none"/>
          <w:shd w:val="clear" w:color="auto" w:fill="FFFFFF"/>
          <w:lang w:eastAsia="zh-CN"/>
        </w:rPr>
        <w:t>市本级</w:t>
      </w:r>
      <w:r>
        <w:rPr>
          <w:rFonts w:hint="eastAsia" w:ascii="仿宋_GB2312" w:hAnsi="仿宋_GB2312" w:eastAsia="仿宋_GB2312" w:cs="仿宋_GB2312"/>
          <w:i w:val="0"/>
          <w:caps w:val="0"/>
          <w:color w:val="auto"/>
          <w:spacing w:val="0"/>
          <w:sz w:val="32"/>
          <w:szCs w:val="32"/>
          <w:u w:val="none"/>
          <w:shd w:val="clear" w:color="auto" w:fill="FFFFFF"/>
        </w:rPr>
        <w:t>集体建设用地基准地价和集体农用地基准地价。</w:t>
      </w:r>
      <w:r>
        <w:rPr>
          <w:rFonts w:hint="eastAsia" w:ascii="仿宋_GB2312" w:hAnsi="仿宋_GB2312" w:eastAsia="仿宋_GB2312" w:cs="仿宋_GB2312"/>
          <w:i w:val="0"/>
          <w:caps w:val="0"/>
          <w:color w:val="auto"/>
          <w:spacing w:val="0"/>
          <w:sz w:val="32"/>
          <w:szCs w:val="32"/>
          <w:u w:val="none"/>
          <w:shd w:val="clear" w:color="auto" w:fill="FFFFFF"/>
          <w:lang w:eastAsia="zh-CN"/>
        </w:rPr>
        <w:t>经市政府审定批准，</w:t>
      </w:r>
      <w:r>
        <w:rPr>
          <w:rFonts w:hint="eastAsia" w:ascii="仿宋_GB2312" w:hAnsi="仿宋_GB2312" w:eastAsia="仿宋_GB2312" w:cs="仿宋_GB2312"/>
          <w:i w:val="0"/>
          <w:caps w:val="0"/>
          <w:color w:val="auto"/>
          <w:spacing w:val="0"/>
          <w:sz w:val="32"/>
          <w:szCs w:val="32"/>
          <w:u w:val="none"/>
          <w:shd w:val="clear" w:color="auto" w:fill="FFFFFF"/>
        </w:rPr>
        <w:t>现将《</w:t>
      </w:r>
      <w:r>
        <w:rPr>
          <w:rFonts w:hint="eastAsia" w:ascii="仿宋_GB2312" w:hAnsi="仿宋_GB2312" w:eastAsia="仿宋_GB2312" w:cs="仿宋_GB2312"/>
          <w:i w:val="0"/>
          <w:caps w:val="0"/>
          <w:color w:val="auto"/>
          <w:spacing w:val="0"/>
          <w:sz w:val="32"/>
          <w:szCs w:val="32"/>
          <w:u w:val="none"/>
          <w:shd w:val="clear" w:color="auto" w:fill="FFFFFF"/>
          <w:lang w:eastAsia="zh-CN"/>
        </w:rPr>
        <w:t>铁岭市本级</w:t>
      </w:r>
      <w:r>
        <w:rPr>
          <w:rFonts w:hint="eastAsia" w:ascii="仿宋_GB2312" w:hAnsi="仿宋_GB2312" w:eastAsia="仿宋_GB2312" w:cs="仿宋_GB2312"/>
          <w:i w:val="0"/>
          <w:caps w:val="0"/>
          <w:color w:val="auto"/>
          <w:spacing w:val="0"/>
          <w:sz w:val="32"/>
          <w:szCs w:val="32"/>
          <w:u w:val="none"/>
          <w:shd w:val="clear" w:color="auto" w:fill="FFFFFF"/>
        </w:rPr>
        <w:t>集体建设用地基准地价成果》和《</w:t>
      </w:r>
      <w:r>
        <w:rPr>
          <w:rFonts w:hint="eastAsia" w:ascii="仿宋_GB2312" w:hAnsi="仿宋_GB2312" w:eastAsia="仿宋_GB2312" w:cs="仿宋_GB2312"/>
          <w:i w:val="0"/>
          <w:caps w:val="0"/>
          <w:color w:val="auto"/>
          <w:spacing w:val="0"/>
          <w:sz w:val="32"/>
          <w:szCs w:val="32"/>
          <w:u w:val="none"/>
          <w:shd w:val="clear" w:color="auto" w:fill="FFFFFF"/>
          <w:lang w:eastAsia="zh-CN"/>
        </w:rPr>
        <w:t>铁岭市本级</w:t>
      </w:r>
      <w:r>
        <w:rPr>
          <w:rFonts w:hint="eastAsia" w:ascii="仿宋_GB2312" w:hAnsi="仿宋_GB2312" w:eastAsia="仿宋_GB2312" w:cs="仿宋_GB2312"/>
          <w:i w:val="0"/>
          <w:caps w:val="0"/>
          <w:color w:val="auto"/>
          <w:spacing w:val="0"/>
          <w:sz w:val="32"/>
          <w:szCs w:val="32"/>
          <w:u w:val="none"/>
          <w:shd w:val="clear" w:color="auto" w:fill="FFFFFF"/>
        </w:rPr>
        <w:t>集体农用地基准地价成果》予以公布。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b w:val="0"/>
          <w:bCs w:val="0"/>
          <w:i w:val="0"/>
          <w:caps w:val="0"/>
          <w:color w:val="auto"/>
          <w:spacing w:val="0"/>
          <w:sz w:val="32"/>
          <w:szCs w:val="32"/>
          <w:u w:val="none"/>
          <w:shd w:val="clear" w:color="auto" w:fill="FFFFFF"/>
        </w:rPr>
      </w:pPr>
      <w:r>
        <w:rPr>
          <w:rFonts w:hint="eastAsia" w:ascii="仿宋_GB2312" w:hAnsi="仿宋_GB2312" w:eastAsia="仿宋_GB2312" w:cs="仿宋_GB2312"/>
          <w:b w:val="0"/>
          <w:bCs w:val="0"/>
          <w:i w:val="0"/>
          <w:caps w:val="0"/>
          <w:color w:val="auto"/>
          <w:spacing w:val="0"/>
          <w:sz w:val="32"/>
          <w:szCs w:val="32"/>
          <w:u w:val="none"/>
          <w:shd w:val="clear" w:color="auto" w:fill="FFFFFF"/>
        </w:rPr>
        <w:t>本通知自公布之日起执行。</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b w:val="0"/>
          <w:bCs w:val="0"/>
          <w:i w:val="0"/>
          <w:caps w:val="0"/>
          <w:color w:val="auto"/>
          <w:spacing w:val="0"/>
          <w:sz w:val="32"/>
          <w:szCs w:val="32"/>
          <w:u w:val="none"/>
          <w:shd w:val="clear" w:color="auto"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b w:val="0"/>
          <w:bCs w:val="0"/>
          <w:i w:val="0"/>
          <w:caps w:val="0"/>
          <w:color w:val="auto"/>
          <w:spacing w:val="0"/>
          <w:sz w:val="32"/>
          <w:szCs w:val="32"/>
          <w:u w:val="none"/>
          <w:shd w:val="clear" w:color="auto" w:fill="FFFFFF"/>
        </w:rPr>
      </w:pPr>
    </w:p>
    <w:p>
      <w:pPr>
        <w:pageBreakBefore w:val="0"/>
        <w:kinsoku/>
        <w:wordWrap/>
        <w:overflowPunct/>
        <w:topLinePunct w:val="0"/>
        <w:autoSpaceDE/>
        <w:autoSpaceDN/>
        <w:bidi w:val="0"/>
        <w:spacing w:line="600" w:lineRule="exact"/>
        <w:ind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附件：1.铁岭市本级集体建设用地基准地价成果</w:t>
      </w:r>
    </w:p>
    <w:p>
      <w:pPr>
        <w:pageBreakBefore w:val="0"/>
        <w:kinsoku/>
        <w:wordWrap/>
        <w:overflowPunct/>
        <w:topLinePunct w:val="0"/>
        <w:autoSpaceDE/>
        <w:autoSpaceDN/>
        <w:bidi w:val="0"/>
        <w:spacing w:line="600" w:lineRule="exact"/>
        <w:ind w:firstLine="1600" w:firstLineChars="5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2.铁岭市本级集体农用地基准地价成果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b w:val="0"/>
          <w:bCs w:val="0"/>
          <w:i w:val="0"/>
          <w:caps w:val="0"/>
          <w:color w:val="auto"/>
          <w:spacing w:val="0"/>
          <w:sz w:val="32"/>
          <w:szCs w:val="32"/>
          <w:u w:val="none"/>
          <w:shd w:val="clear" w:color="auto"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b w:val="0"/>
          <w:bCs w:val="0"/>
          <w:i w:val="0"/>
          <w:caps w:val="0"/>
          <w:color w:val="auto"/>
          <w:spacing w:val="0"/>
          <w:sz w:val="32"/>
          <w:szCs w:val="32"/>
          <w:u w:val="none"/>
          <w:shd w:val="clear" w:color="auto" w:fill="FFFFFF"/>
        </w:rPr>
      </w:pPr>
    </w:p>
    <w:p>
      <w:pPr>
        <w:wordWrap w:val="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铁岭市国有土地审查委员会办公室    </w:t>
      </w:r>
    </w:p>
    <w:p>
      <w:pPr>
        <w:pageBreakBefore w:val="0"/>
        <w:kinsoku/>
        <w:wordWrap w:val="0"/>
        <w:overflowPunct/>
        <w:topLinePunct w:val="0"/>
        <w:autoSpaceDE/>
        <w:autoSpaceDN/>
        <w:bidi w:val="0"/>
        <w:spacing w:line="600" w:lineRule="exact"/>
        <w:jc w:val="right"/>
        <w:textAlignment w:val="auto"/>
        <w:rPr>
          <w:rFonts w:hint="default" w:ascii="仿宋_GB2312" w:hAnsi="仿宋_GB2312" w:eastAsia="仿宋_GB2312" w:cs="仿宋_GB2312"/>
          <w:b w:val="0"/>
          <w:bCs w:val="0"/>
          <w:color w:val="auto"/>
          <w:sz w:val="32"/>
          <w:szCs w:val="32"/>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b w:val="0"/>
          <w:bCs w:val="0"/>
          <w:sz w:val="32"/>
          <w:szCs w:val="32"/>
          <w:lang w:val="en-US" w:eastAsia="zh-CN"/>
        </w:rPr>
        <w:t xml:space="preserve">                         2022年11月16日       </w:t>
      </w:r>
      <w:r>
        <w:rPr>
          <w:rFonts w:hint="eastAsia" w:ascii="仿宋_GB2312" w:hAnsi="仿宋_GB2312" w:eastAsia="仿宋_GB2312" w:cs="仿宋_GB2312"/>
          <w:b w:val="0"/>
          <w:bCs w:val="0"/>
          <w:color w:val="auto"/>
          <w:sz w:val="32"/>
          <w:szCs w:val="32"/>
          <w:lang w:val="en-US" w:eastAsia="zh-CN"/>
        </w:rPr>
        <w:t xml:space="preserve">      </w:t>
      </w:r>
    </w:p>
    <w:p>
      <w:pPr>
        <w:pageBreakBefore w:val="0"/>
        <w:kinsoku/>
        <w:wordWrap/>
        <w:overflowPunct/>
        <w:topLinePunct w:val="0"/>
        <w:autoSpaceDE/>
        <w:autoSpaceDN/>
        <w:bidi w:val="0"/>
        <w:spacing w:line="600" w:lineRule="exact"/>
        <w:jc w:val="center"/>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br w:type="page"/>
      </w:r>
    </w:p>
    <w:p>
      <w:pPr>
        <w:pageBreakBefore w:val="0"/>
        <w:kinsoku/>
        <w:wordWrap/>
        <w:overflowPunct/>
        <w:topLinePunct w:val="0"/>
        <w:autoSpaceDE/>
        <w:autoSpaceDN/>
        <w:bidi w:val="0"/>
        <w:spacing w:line="600" w:lineRule="exact"/>
        <w:jc w:val="both"/>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附件1</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center"/>
        <w:textAlignment w:val="auto"/>
        <w:rPr>
          <w:rFonts w:hint="eastAsia" w:ascii="仿宋_GB2312" w:hAnsi="仿宋_GB2312" w:eastAsia="仿宋_GB2312" w:cs="仿宋_GB2312"/>
          <w:b/>
          <w:bCs/>
          <w:color w:val="auto"/>
          <w:sz w:val="36"/>
          <w:szCs w:val="36"/>
          <w:lang w:val="en-US" w:eastAsia="zh-CN"/>
        </w:rPr>
      </w:pPr>
      <w:r>
        <w:rPr>
          <w:rFonts w:hint="eastAsia" w:ascii="仿宋_GB2312" w:hAnsi="仿宋_GB2312" w:eastAsia="仿宋_GB2312" w:cs="仿宋_GB2312"/>
          <w:b/>
          <w:bCs/>
          <w:color w:val="auto"/>
          <w:sz w:val="36"/>
          <w:szCs w:val="36"/>
          <w:lang w:val="en-US" w:eastAsia="zh-CN"/>
        </w:rPr>
        <w:t>铁岭市本级集体建设用地基准地价成果</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20" w:line="600" w:lineRule="exact"/>
        <w:ind w:leftChars="0" w:firstLine="640" w:firstLineChars="200"/>
        <w:jc w:val="left"/>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一、工作范围</w:t>
      </w:r>
    </w:p>
    <w:p>
      <w:pPr>
        <w:pStyle w:val="3"/>
        <w:pageBreakBefore w:val="0"/>
        <w:widowControl/>
        <w:numPr>
          <w:ilvl w:val="0"/>
          <w:numId w:val="0"/>
        </w:numPr>
        <w:kinsoku/>
        <w:wordWrap/>
        <w:overflowPunct/>
        <w:topLinePunct w:val="0"/>
        <w:autoSpaceDE/>
        <w:autoSpaceDN/>
        <w:bidi w:val="0"/>
        <w:adjustRightInd w:val="0"/>
        <w:snapToGrid w:val="0"/>
        <w:spacing w:beforeAutospacing="0" w:afterAutospacing="0" w:line="600" w:lineRule="exact"/>
        <w:ind w:firstLine="640" w:firstLineChars="200"/>
        <w:textAlignment w:val="auto"/>
        <w:outlineLvl w:val="2"/>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本项工作范围包括铁岭市</w:t>
      </w:r>
      <w:r>
        <w:rPr>
          <w:rFonts w:hint="eastAsia" w:ascii="仿宋_GB2312" w:hAnsi="仿宋_GB2312" w:eastAsia="仿宋_GB2312" w:cs="仿宋_GB2312"/>
          <w:b w:val="0"/>
          <w:bCs w:val="0"/>
          <w:color w:val="auto"/>
          <w:sz w:val="32"/>
          <w:szCs w:val="32"/>
          <w:lang w:eastAsia="zh-CN"/>
        </w:rPr>
        <w:t>银州区、凡河</w:t>
      </w:r>
      <w:r>
        <w:rPr>
          <w:rFonts w:hint="eastAsia" w:ascii="仿宋_GB2312" w:hAnsi="仿宋_GB2312" w:eastAsia="仿宋_GB2312" w:cs="仿宋_GB2312"/>
          <w:b w:val="0"/>
          <w:bCs w:val="0"/>
          <w:color w:val="auto"/>
          <w:sz w:val="32"/>
          <w:szCs w:val="32"/>
        </w:rPr>
        <w:t>新区</w:t>
      </w:r>
      <w:r>
        <w:rPr>
          <w:rFonts w:hint="eastAsia" w:ascii="仿宋_GB2312" w:hAnsi="仿宋_GB2312" w:eastAsia="仿宋_GB2312" w:cs="仿宋_GB2312"/>
          <w:b w:val="0"/>
          <w:bCs w:val="0"/>
          <w:color w:val="auto"/>
          <w:sz w:val="32"/>
          <w:szCs w:val="32"/>
          <w:lang w:eastAsia="zh-CN"/>
        </w:rPr>
        <w:t>和铁岭经济技术开发区</w:t>
      </w:r>
      <w:r>
        <w:rPr>
          <w:rFonts w:hint="eastAsia" w:ascii="仿宋_GB2312" w:hAnsi="仿宋_GB2312" w:eastAsia="仿宋_GB2312" w:cs="仿宋_GB2312"/>
          <w:b w:val="0"/>
          <w:bCs w:val="0"/>
          <w:color w:val="auto"/>
          <w:sz w:val="32"/>
          <w:szCs w:val="32"/>
        </w:rPr>
        <w:t>内的</w:t>
      </w:r>
      <w:r>
        <w:rPr>
          <w:rFonts w:hint="eastAsia" w:ascii="仿宋_GB2312" w:hAnsi="仿宋_GB2312" w:eastAsia="仿宋_GB2312" w:cs="仿宋_GB2312"/>
          <w:b w:val="0"/>
          <w:bCs w:val="0"/>
          <w:color w:val="auto"/>
          <w:sz w:val="32"/>
          <w:szCs w:val="32"/>
          <w:lang w:eastAsia="zh-CN"/>
        </w:rPr>
        <w:t>集体建设用地，合计</w:t>
      </w:r>
      <w:r>
        <w:rPr>
          <w:rFonts w:hint="eastAsia" w:ascii="仿宋_GB2312" w:hAnsi="仿宋_GB2312" w:eastAsia="仿宋_GB2312" w:cs="仿宋_GB2312"/>
          <w:b w:val="0"/>
          <w:bCs w:val="0"/>
          <w:color w:val="auto"/>
          <w:sz w:val="32"/>
          <w:szCs w:val="32"/>
          <w:lang w:val="en-US" w:eastAsia="zh-CN"/>
        </w:rPr>
        <w:t>618.97公顷。</w:t>
      </w:r>
      <w:r>
        <w:rPr>
          <w:rFonts w:hint="eastAsia" w:ascii="仿宋_GB2312" w:hAnsi="仿宋_GB2312" w:eastAsia="仿宋_GB2312" w:cs="仿宋_GB2312"/>
          <w:b w:val="0"/>
          <w:bCs w:val="0"/>
          <w:color w:val="auto"/>
          <w:sz w:val="32"/>
          <w:szCs w:val="32"/>
          <w:lang w:eastAsia="zh-CN"/>
        </w:rPr>
        <w:t>本次评估其中工业用地、宅基地和商业用地，合计</w:t>
      </w:r>
      <w:r>
        <w:rPr>
          <w:rFonts w:hint="eastAsia" w:ascii="仿宋_GB2312" w:hAnsi="仿宋_GB2312" w:eastAsia="仿宋_GB2312" w:cs="仿宋_GB2312"/>
          <w:b w:val="0"/>
          <w:bCs w:val="0"/>
          <w:color w:val="auto"/>
          <w:sz w:val="32"/>
          <w:szCs w:val="32"/>
          <w:lang w:val="en-US" w:eastAsia="zh-CN"/>
        </w:rPr>
        <w:t>487.27公顷</w:t>
      </w:r>
      <w:r>
        <w:rPr>
          <w:rFonts w:hint="eastAsia" w:ascii="仿宋_GB2312" w:hAnsi="仿宋_GB2312" w:eastAsia="仿宋_GB2312" w:cs="仿宋_GB2312"/>
          <w:b w:val="0"/>
          <w:bCs w:val="0"/>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20" w:line="600" w:lineRule="exact"/>
        <w:ind w:leftChars="0" w:firstLine="640" w:firstLineChars="200"/>
        <w:jc w:val="left"/>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二、土地级别</w:t>
      </w:r>
    </w:p>
    <w:p>
      <w:pPr>
        <w:pStyle w:val="4"/>
        <w:keepNext w:val="0"/>
        <w:keepLines w:val="0"/>
        <w:pageBreakBefore w:val="0"/>
        <w:widowControl/>
        <w:numPr>
          <w:ilvl w:val="0"/>
          <w:numId w:val="0"/>
        </w:numPr>
        <w:kinsoku/>
        <w:wordWrap/>
        <w:overflowPunct/>
        <w:topLinePunct w:val="0"/>
        <w:autoSpaceDE/>
        <w:autoSpaceDN/>
        <w:bidi w:val="0"/>
        <w:adjustRightInd/>
        <w:snapToGrid w:val="0"/>
        <w:spacing w:line="600" w:lineRule="exact"/>
        <w:ind w:leftChars="0" w:firstLine="640"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i w:val="0"/>
          <w:caps w:val="0"/>
          <w:color w:val="auto"/>
          <w:spacing w:val="0"/>
          <w:sz w:val="32"/>
          <w:szCs w:val="32"/>
          <w:u w:val="none"/>
          <w:shd w:val="clear" w:color="auto" w:fill="FFFFFF"/>
        </w:rPr>
        <w:t>土地级别采用综合定级方式确定,共划分为</w:t>
      </w:r>
      <w:r>
        <w:rPr>
          <w:rFonts w:hint="eastAsia" w:ascii="仿宋_GB2312" w:hAnsi="仿宋_GB2312" w:eastAsia="仿宋_GB2312" w:cs="仿宋_GB2312"/>
          <w:i w:val="0"/>
          <w:caps w:val="0"/>
          <w:color w:val="auto"/>
          <w:spacing w:val="0"/>
          <w:sz w:val="32"/>
          <w:szCs w:val="32"/>
          <w:u w:val="none"/>
          <w:shd w:val="clear" w:color="auto" w:fill="FFFFFF"/>
          <w:lang w:eastAsia="zh-CN"/>
        </w:rPr>
        <w:t>两</w:t>
      </w:r>
      <w:r>
        <w:rPr>
          <w:rFonts w:hint="eastAsia" w:ascii="仿宋_GB2312" w:hAnsi="仿宋_GB2312" w:eastAsia="仿宋_GB2312" w:cs="仿宋_GB2312"/>
          <w:i w:val="0"/>
          <w:caps w:val="0"/>
          <w:color w:val="auto"/>
          <w:spacing w:val="0"/>
          <w:sz w:val="32"/>
          <w:szCs w:val="32"/>
          <w:u w:val="none"/>
          <w:shd w:val="clear" w:color="auto" w:fill="FFFFFF"/>
        </w:rPr>
        <w:t>个级别。</w:t>
      </w:r>
      <w:r>
        <w:rPr>
          <w:rFonts w:hint="eastAsia" w:ascii="仿宋_GB2312" w:hAnsi="仿宋_GB2312" w:eastAsia="仿宋_GB2312" w:cs="仿宋_GB2312"/>
          <w:b w:val="0"/>
          <w:bCs/>
          <w:color w:val="auto"/>
          <w:sz w:val="32"/>
          <w:szCs w:val="32"/>
        </w:rPr>
        <w:t>Ⅰ级</w:t>
      </w:r>
      <w:r>
        <w:rPr>
          <w:rFonts w:hint="eastAsia" w:ascii="仿宋_GB2312" w:hAnsi="仿宋_GB2312" w:eastAsia="仿宋_GB2312" w:cs="仿宋_GB2312"/>
          <w:b w:val="0"/>
          <w:bCs/>
          <w:color w:val="auto"/>
          <w:sz w:val="32"/>
          <w:szCs w:val="32"/>
          <w:lang w:eastAsia="zh-CN"/>
        </w:rPr>
        <w:t>包括</w:t>
      </w:r>
      <w:r>
        <w:rPr>
          <w:rFonts w:hint="eastAsia" w:ascii="仿宋_GB2312" w:hAnsi="仿宋_GB2312" w:eastAsia="仿宋_GB2312" w:cs="仿宋_GB2312"/>
          <w:b w:val="0"/>
          <w:bCs/>
          <w:i w:val="0"/>
          <w:color w:val="auto"/>
          <w:kern w:val="0"/>
          <w:sz w:val="32"/>
          <w:szCs w:val="32"/>
          <w:u w:val="none"/>
          <w:lang w:val="en-US" w:eastAsia="zh-CN" w:bidi="ar"/>
        </w:rPr>
        <w:t>前八里村、后八里村、园艺村，</w:t>
      </w:r>
      <w:r>
        <w:rPr>
          <w:rFonts w:hint="eastAsia" w:ascii="仿宋_GB2312" w:hAnsi="仿宋_GB2312" w:eastAsia="仿宋_GB2312" w:cs="仿宋_GB2312"/>
          <w:b w:val="0"/>
          <w:bCs/>
          <w:color w:val="auto"/>
          <w:sz w:val="32"/>
          <w:szCs w:val="32"/>
          <w:lang w:eastAsia="zh-CN"/>
        </w:rPr>
        <w:t>面积</w:t>
      </w:r>
      <w:r>
        <w:rPr>
          <w:rFonts w:hint="eastAsia" w:ascii="仿宋_GB2312" w:hAnsi="仿宋_GB2312" w:eastAsia="仿宋_GB2312" w:cs="仿宋_GB2312"/>
          <w:b w:val="0"/>
          <w:bCs/>
          <w:i w:val="0"/>
          <w:color w:val="auto"/>
          <w:kern w:val="0"/>
          <w:sz w:val="32"/>
          <w:szCs w:val="32"/>
          <w:u w:val="none"/>
          <w:lang w:val="en-US" w:eastAsia="zh-CN" w:bidi="ar"/>
        </w:rPr>
        <w:t>99.01</w:t>
      </w:r>
      <w:r>
        <w:rPr>
          <w:rFonts w:hint="eastAsia" w:ascii="仿宋_GB2312" w:hAnsi="仿宋_GB2312" w:eastAsia="仿宋_GB2312" w:cs="仿宋_GB2312"/>
          <w:b w:val="0"/>
          <w:bCs/>
          <w:color w:val="auto"/>
          <w:sz w:val="32"/>
          <w:szCs w:val="32"/>
          <w:lang w:eastAsia="zh-CN"/>
        </w:rPr>
        <w:t>公顷，占比</w:t>
      </w:r>
      <w:r>
        <w:rPr>
          <w:rFonts w:hint="eastAsia" w:ascii="仿宋_GB2312" w:hAnsi="仿宋_GB2312" w:eastAsia="仿宋_GB2312" w:cs="仿宋_GB2312"/>
          <w:b w:val="0"/>
          <w:bCs/>
          <w:color w:val="auto"/>
          <w:kern w:val="2"/>
          <w:sz w:val="32"/>
          <w:szCs w:val="32"/>
          <w:lang w:val="en-US" w:eastAsia="zh-CN" w:bidi="ar-SA"/>
        </w:rPr>
        <w:t>20.32%；</w:t>
      </w:r>
      <w:r>
        <w:rPr>
          <w:rFonts w:hint="eastAsia" w:ascii="仿宋_GB2312" w:hAnsi="仿宋_GB2312" w:eastAsia="仿宋_GB2312" w:cs="仿宋_GB2312"/>
          <w:b w:val="0"/>
          <w:bCs/>
          <w:color w:val="auto"/>
          <w:sz w:val="32"/>
          <w:szCs w:val="32"/>
        </w:rPr>
        <w:t>Ⅱ级</w:t>
      </w:r>
      <w:r>
        <w:rPr>
          <w:rFonts w:hint="eastAsia" w:ascii="仿宋_GB2312" w:hAnsi="仿宋_GB2312" w:eastAsia="仿宋_GB2312" w:cs="仿宋_GB2312"/>
          <w:b w:val="0"/>
          <w:bCs/>
          <w:color w:val="auto"/>
          <w:sz w:val="32"/>
          <w:szCs w:val="32"/>
          <w:lang w:eastAsia="zh-CN"/>
        </w:rPr>
        <w:t>包括</w:t>
      </w:r>
      <w:r>
        <w:rPr>
          <w:rFonts w:hint="eastAsia" w:ascii="仿宋_GB2312" w:hAnsi="仿宋_GB2312" w:eastAsia="仿宋_GB2312" w:cs="仿宋_GB2312"/>
          <w:b w:val="0"/>
          <w:bCs/>
          <w:i w:val="0"/>
          <w:color w:val="auto"/>
          <w:kern w:val="0"/>
          <w:sz w:val="32"/>
          <w:szCs w:val="32"/>
          <w:u w:val="none"/>
          <w:lang w:val="en-US" w:eastAsia="zh-CN" w:bidi="ar"/>
        </w:rPr>
        <w:t>东辽海村、腰辽海村、西辽海村、英城子村、七里屯村、牛岗子村、柴河东村、柴河西村、地运所村、凡河新区，</w:t>
      </w:r>
      <w:r>
        <w:rPr>
          <w:rFonts w:hint="eastAsia" w:ascii="仿宋_GB2312" w:hAnsi="仿宋_GB2312" w:eastAsia="仿宋_GB2312" w:cs="仿宋_GB2312"/>
          <w:b w:val="0"/>
          <w:bCs/>
          <w:color w:val="auto"/>
          <w:sz w:val="32"/>
          <w:szCs w:val="32"/>
          <w:lang w:eastAsia="zh-CN"/>
        </w:rPr>
        <w:t>面积</w:t>
      </w:r>
      <w:r>
        <w:rPr>
          <w:rFonts w:hint="eastAsia" w:ascii="仿宋_GB2312" w:hAnsi="仿宋_GB2312" w:eastAsia="仿宋_GB2312" w:cs="仿宋_GB2312"/>
          <w:b w:val="0"/>
          <w:bCs/>
          <w:i w:val="0"/>
          <w:color w:val="auto"/>
          <w:kern w:val="0"/>
          <w:sz w:val="32"/>
          <w:szCs w:val="32"/>
          <w:u w:val="none"/>
          <w:lang w:val="en-US" w:eastAsia="zh-CN" w:bidi="ar"/>
        </w:rPr>
        <w:t>388.26</w:t>
      </w:r>
      <w:r>
        <w:rPr>
          <w:rFonts w:hint="eastAsia" w:ascii="仿宋_GB2312" w:hAnsi="仿宋_GB2312" w:eastAsia="仿宋_GB2312" w:cs="仿宋_GB2312"/>
          <w:b w:val="0"/>
          <w:bCs/>
          <w:color w:val="auto"/>
          <w:sz w:val="32"/>
          <w:szCs w:val="32"/>
          <w:lang w:eastAsia="zh-CN"/>
        </w:rPr>
        <w:t>公顷，占比</w:t>
      </w:r>
      <w:r>
        <w:rPr>
          <w:rFonts w:hint="eastAsia" w:ascii="仿宋_GB2312" w:hAnsi="仿宋_GB2312" w:eastAsia="仿宋_GB2312" w:cs="仿宋_GB2312"/>
          <w:b w:val="0"/>
          <w:bCs/>
          <w:color w:val="auto"/>
          <w:kern w:val="2"/>
          <w:sz w:val="32"/>
          <w:szCs w:val="32"/>
          <w:lang w:val="en-US" w:eastAsia="zh-CN" w:bidi="ar-SA"/>
        </w:rPr>
        <w:t>79.68%。</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120" w:line="600" w:lineRule="exact"/>
        <w:ind w:leftChars="0" w:firstLine="640" w:firstLineChars="200"/>
        <w:jc w:val="left"/>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基准地价</w:t>
      </w:r>
    </w:p>
    <w:p>
      <w:pPr>
        <w:pStyle w:val="2"/>
        <w:numPr>
          <w:ilvl w:val="0"/>
          <w:numId w:val="0"/>
        </w:numPr>
        <w:jc w:val="center"/>
        <w:rPr>
          <w:rFonts w:hint="eastAsia" w:ascii="仿宋" w:hAnsi="仿宋" w:eastAsia="仿宋" w:cs="仿宋"/>
          <w:b/>
          <w:bCs/>
          <w:sz w:val="24"/>
          <w:szCs w:val="24"/>
          <w:lang w:eastAsia="zh-CN"/>
        </w:rPr>
      </w:pPr>
      <w:bookmarkStart w:id="0" w:name="_Toc2562"/>
      <w:r>
        <w:rPr>
          <w:rFonts w:hint="eastAsia" w:ascii="仿宋" w:hAnsi="仿宋" w:eastAsia="仿宋" w:cs="仿宋"/>
          <w:b/>
          <w:bCs/>
          <w:sz w:val="24"/>
          <w:szCs w:val="24"/>
          <w:lang w:eastAsia="zh-CN"/>
        </w:rPr>
        <w:drawing>
          <wp:inline distT="0" distB="0" distL="114300" distR="114300">
            <wp:extent cx="5478780" cy="2578735"/>
            <wp:effectExtent l="0" t="0" r="7620" b="12065"/>
            <wp:docPr id="6" name="图片 4" descr="铁岭市集体建设用地基准地价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descr="铁岭市集体建设用地基准地价图"/>
                    <pic:cNvPicPr>
                      <a:picLocks noChangeAspect="1"/>
                    </pic:cNvPicPr>
                  </pic:nvPicPr>
                  <pic:blipFill>
                    <a:blip r:embed="rId5"/>
                    <a:stretch>
                      <a:fillRect/>
                    </a:stretch>
                  </pic:blipFill>
                  <pic:spPr>
                    <a:xfrm>
                      <a:off x="0" y="0"/>
                      <a:ext cx="5478780" cy="2578735"/>
                    </a:xfrm>
                    <a:prstGeom prst="rect">
                      <a:avLst/>
                    </a:prstGeom>
                    <a:noFill/>
                    <a:ln>
                      <a:noFill/>
                    </a:ln>
                  </pic:spPr>
                </pic:pic>
              </a:graphicData>
            </a:graphic>
          </wp:inline>
        </w:drawing>
      </w:r>
      <w:bookmarkEnd w:id="0"/>
    </w:p>
    <w:p>
      <w:pPr>
        <w:pStyle w:val="11"/>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tLeast"/>
        <w:jc w:val="center"/>
        <w:textAlignment w:val="auto"/>
        <w:rPr>
          <w:rFonts w:hint="eastAsia" w:ascii="仿宋_GB2312" w:hAnsi="仿宋_GB2312" w:eastAsia="仿宋_GB2312" w:cs="仿宋_GB2312"/>
          <w:b w:val="0"/>
          <w:bCs/>
          <w:color w:val="auto"/>
          <w:sz w:val="32"/>
          <w:szCs w:val="32"/>
        </w:rPr>
      </w:pPr>
    </w:p>
    <w:p>
      <w:pPr>
        <w:pStyle w:val="11"/>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tLeast"/>
        <w:jc w:val="center"/>
        <w:textAlignment w:val="auto"/>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rPr>
        <w:t>铁岭市</w:t>
      </w:r>
      <w:r>
        <w:rPr>
          <w:rFonts w:hint="eastAsia" w:ascii="仿宋_GB2312" w:hAnsi="仿宋_GB2312" w:eastAsia="仿宋_GB2312" w:cs="仿宋_GB2312"/>
          <w:b w:val="0"/>
          <w:bCs/>
          <w:color w:val="auto"/>
          <w:sz w:val="32"/>
          <w:szCs w:val="32"/>
          <w:lang w:eastAsia="zh-CN"/>
        </w:rPr>
        <w:t>本级集体建设用地</w:t>
      </w:r>
      <w:r>
        <w:rPr>
          <w:rFonts w:hint="eastAsia" w:ascii="仿宋_GB2312" w:hAnsi="仿宋_GB2312" w:eastAsia="仿宋_GB2312" w:cs="仿宋_GB2312"/>
          <w:b w:val="0"/>
          <w:bCs/>
          <w:color w:val="auto"/>
          <w:sz w:val="32"/>
          <w:szCs w:val="32"/>
        </w:rPr>
        <w:t>基准地价</w:t>
      </w:r>
      <w:r>
        <w:rPr>
          <w:rFonts w:hint="eastAsia" w:ascii="仿宋_GB2312" w:hAnsi="仿宋_GB2312" w:eastAsia="仿宋_GB2312" w:cs="仿宋_GB2312"/>
          <w:b w:val="0"/>
          <w:bCs/>
          <w:color w:val="auto"/>
          <w:sz w:val="32"/>
          <w:szCs w:val="32"/>
          <w:lang w:eastAsia="zh-CN"/>
        </w:rPr>
        <w:t>表</w:t>
      </w:r>
    </w:p>
    <w:p>
      <w:pPr>
        <w:pStyle w:val="11"/>
        <w:keepNext w:val="0"/>
        <w:keepLines w:val="0"/>
        <w:pageBreakBefore w:val="0"/>
        <w:numPr>
          <w:ilvl w:val="0"/>
          <w:numId w:val="0"/>
        </w:numPr>
        <w:kinsoku/>
        <w:wordWrap/>
        <w:overflowPunct/>
        <w:topLinePunct w:val="0"/>
        <w:autoSpaceDE/>
        <w:autoSpaceDN/>
        <w:bidi w:val="0"/>
        <w:adjustRightInd/>
        <w:snapToGrid/>
        <w:spacing w:beforeAutospacing="0" w:afterAutospacing="0" w:line="600" w:lineRule="exact"/>
        <w:jc w:val="right"/>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eastAsia="zh-CN"/>
        </w:rPr>
        <w:t>单位：元</w:t>
      </w:r>
      <w:r>
        <w:rPr>
          <w:rFonts w:hint="eastAsia" w:ascii="仿宋_GB2312" w:hAnsi="仿宋_GB2312" w:eastAsia="仿宋_GB2312" w:cs="仿宋_GB2312"/>
          <w:b w:val="0"/>
          <w:bCs/>
          <w:color w:val="auto"/>
          <w:sz w:val="32"/>
          <w:szCs w:val="32"/>
          <w:lang w:val="en-US" w:eastAsia="zh-CN"/>
        </w:rPr>
        <w:t>/平方米</w:t>
      </w:r>
    </w:p>
    <w:tbl>
      <w:tblPr>
        <w:tblStyle w:val="9"/>
        <w:tblW w:w="8917" w:type="dxa"/>
        <w:tblInd w:w="0" w:type="dxa"/>
        <w:tblLayout w:type="autofit"/>
        <w:tblCellMar>
          <w:top w:w="0" w:type="dxa"/>
          <w:left w:w="0" w:type="dxa"/>
          <w:bottom w:w="0" w:type="dxa"/>
          <w:right w:w="0" w:type="dxa"/>
        </w:tblCellMar>
      </w:tblPr>
      <w:tblGrid>
        <w:gridCol w:w="961"/>
        <w:gridCol w:w="1879"/>
        <w:gridCol w:w="1879"/>
        <w:gridCol w:w="961"/>
        <w:gridCol w:w="1420"/>
        <w:gridCol w:w="1817"/>
      </w:tblGrid>
      <w:tr>
        <w:tblPrEx>
          <w:tblCellMar>
            <w:top w:w="0" w:type="dxa"/>
            <w:left w:w="0" w:type="dxa"/>
            <w:bottom w:w="0" w:type="dxa"/>
            <w:right w:w="0" w:type="dxa"/>
          </w:tblCellMar>
        </w:tblPrEx>
        <w:trPr>
          <w:trHeight w:val="422" w:hRule="atLeast"/>
        </w:trPr>
        <w:tc>
          <w:tcPr>
            <w:tcW w:w="0" w:type="auto"/>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b w:val="0"/>
                <w:bCs/>
                <w:i w:val="0"/>
                <w:color w:val="auto"/>
                <w:sz w:val="32"/>
                <w:szCs w:val="32"/>
                <w:u w:val="none"/>
              </w:rPr>
            </w:pPr>
            <w:r>
              <w:rPr>
                <w:rFonts w:hint="eastAsia" w:ascii="仿宋_GB2312" w:hAnsi="仿宋_GB2312" w:eastAsia="仿宋_GB2312" w:cs="仿宋_GB2312"/>
                <w:b w:val="0"/>
                <w:bCs/>
                <w:i w:val="0"/>
                <w:color w:val="auto"/>
                <w:kern w:val="0"/>
                <w:sz w:val="32"/>
                <w:szCs w:val="32"/>
                <w:u w:val="none"/>
                <w:lang w:val="en-US" w:eastAsia="zh-CN" w:bidi="ar"/>
              </w:rPr>
              <w:t>级别</w:t>
            </w:r>
          </w:p>
        </w:tc>
        <w:tc>
          <w:tcPr>
            <w:tcW w:w="0" w:type="auto"/>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b w:val="0"/>
                <w:bCs/>
                <w:i w:val="0"/>
                <w:color w:val="auto"/>
                <w:sz w:val="32"/>
                <w:szCs w:val="32"/>
                <w:u w:val="none"/>
              </w:rPr>
            </w:pPr>
            <w:r>
              <w:rPr>
                <w:rFonts w:hint="eastAsia" w:ascii="仿宋_GB2312" w:hAnsi="仿宋_GB2312" w:eastAsia="仿宋_GB2312" w:cs="仿宋_GB2312"/>
                <w:b w:val="0"/>
                <w:bCs/>
                <w:i w:val="0"/>
                <w:color w:val="auto"/>
                <w:kern w:val="0"/>
                <w:sz w:val="32"/>
                <w:szCs w:val="32"/>
                <w:u w:val="none"/>
                <w:lang w:val="en-US" w:eastAsia="zh-CN" w:bidi="ar"/>
              </w:rPr>
              <w:t>所在区域</w:t>
            </w:r>
          </w:p>
        </w:tc>
        <w:tc>
          <w:tcPr>
            <w:tcW w:w="0" w:type="auto"/>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b w:val="0"/>
                <w:bCs/>
                <w:i w:val="0"/>
                <w:color w:val="auto"/>
                <w:sz w:val="32"/>
                <w:szCs w:val="32"/>
                <w:u w:val="none"/>
              </w:rPr>
            </w:pPr>
            <w:r>
              <w:rPr>
                <w:rFonts w:hint="eastAsia" w:ascii="仿宋_GB2312" w:hAnsi="仿宋_GB2312" w:eastAsia="仿宋_GB2312" w:cs="仿宋_GB2312"/>
                <w:b w:val="0"/>
                <w:bCs/>
                <w:i w:val="0"/>
                <w:color w:val="auto"/>
                <w:kern w:val="0"/>
                <w:sz w:val="32"/>
                <w:szCs w:val="32"/>
                <w:u w:val="none"/>
                <w:lang w:val="en-US" w:eastAsia="zh-CN" w:bidi="ar"/>
              </w:rPr>
              <w:t>坐落</w:t>
            </w:r>
          </w:p>
        </w:tc>
        <w:tc>
          <w:tcPr>
            <w:tcW w:w="0" w:type="auto"/>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b w:val="0"/>
                <w:bCs/>
                <w:i w:val="0"/>
                <w:color w:val="auto"/>
                <w:sz w:val="32"/>
                <w:szCs w:val="32"/>
                <w:u w:val="none"/>
              </w:rPr>
            </w:pPr>
            <w:r>
              <w:rPr>
                <w:rFonts w:hint="eastAsia" w:ascii="仿宋_GB2312" w:hAnsi="仿宋_GB2312" w:eastAsia="仿宋_GB2312" w:cs="仿宋_GB2312"/>
                <w:b w:val="0"/>
                <w:bCs/>
                <w:i w:val="0"/>
                <w:color w:val="auto"/>
                <w:kern w:val="0"/>
                <w:sz w:val="32"/>
                <w:szCs w:val="32"/>
                <w:u w:val="none"/>
                <w:lang w:val="en-US" w:eastAsia="zh-CN" w:bidi="ar"/>
              </w:rPr>
              <w:t>商业</w:t>
            </w:r>
          </w:p>
        </w:tc>
        <w:tc>
          <w:tcPr>
            <w:tcW w:w="0" w:type="auto"/>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b w:val="0"/>
                <w:bCs/>
                <w:i w:val="0"/>
                <w:color w:val="auto"/>
                <w:sz w:val="32"/>
                <w:szCs w:val="32"/>
                <w:u w:val="none"/>
              </w:rPr>
            </w:pPr>
            <w:r>
              <w:rPr>
                <w:rFonts w:hint="eastAsia" w:ascii="仿宋_GB2312" w:hAnsi="仿宋_GB2312" w:eastAsia="仿宋_GB2312" w:cs="仿宋_GB2312"/>
                <w:b w:val="0"/>
                <w:bCs/>
                <w:i w:val="0"/>
                <w:color w:val="auto"/>
                <w:kern w:val="0"/>
                <w:sz w:val="32"/>
                <w:szCs w:val="32"/>
                <w:u w:val="none"/>
                <w:lang w:val="en-US" w:eastAsia="zh-CN" w:bidi="ar"/>
              </w:rPr>
              <w:t>宅基地</w:t>
            </w:r>
          </w:p>
        </w:tc>
        <w:tc>
          <w:tcPr>
            <w:tcW w:w="181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b w:val="0"/>
                <w:bCs/>
                <w:i w:val="0"/>
                <w:color w:val="auto"/>
                <w:sz w:val="32"/>
                <w:szCs w:val="32"/>
                <w:u w:val="none"/>
              </w:rPr>
            </w:pPr>
            <w:r>
              <w:rPr>
                <w:rFonts w:hint="eastAsia" w:ascii="仿宋_GB2312" w:hAnsi="仿宋_GB2312" w:eastAsia="仿宋_GB2312" w:cs="仿宋_GB2312"/>
                <w:b w:val="0"/>
                <w:bCs/>
                <w:i w:val="0"/>
                <w:color w:val="auto"/>
                <w:kern w:val="0"/>
                <w:sz w:val="32"/>
                <w:szCs w:val="32"/>
                <w:u w:val="none"/>
                <w:lang w:val="en-US" w:eastAsia="zh-CN" w:bidi="ar"/>
              </w:rPr>
              <w:t>工业</w:t>
            </w:r>
          </w:p>
        </w:tc>
      </w:tr>
      <w:tr>
        <w:tblPrEx>
          <w:tblCellMar>
            <w:top w:w="0" w:type="dxa"/>
            <w:left w:w="0" w:type="dxa"/>
            <w:bottom w:w="0" w:type="dxa"/>
            <w:right w:w="0" w:type="dxa"/>
          </w:tblCellMar>
        </w:tblPrEx>
        <w:trPr>
          <w:trHeight w:val="422" w:hRule="atLeast"/>
        </w:trPr>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b/>
                <w:i w:val="0"/>
                <w:color w:val="auto"/>
                <w:sz w:val="32"/>
                <w:szCs w:val="3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b/>
                <w:i w:val="0"/>
                <w:color w:val="auto"/>
                <w:sz w:val="32"/>
                <w:szCs w:val="3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b/>
                <w:i w:val="0"/>
                <w:color w:val="auto"/>
                <w:sz w:val="32"/>
                <w:szCs w:val="3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b/>
                <w:i w:val="0"/>
                <w:color w:val="auto"/>
                <w:sz w:val="32"/>
                <w:szCs w:val="3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b/>
                <w:i w:val="0"/>
                <w:color w:val="auto"/>
                <w:sz w:val="32"/>
                <w:szCs w:val="3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b/>
                <w:i w:val="0"/>
                <w:color w:val="auto"/>
                <w:sz w:val="32"/>
                <w:szCs w:val="32"/>
                <w:u w:val="none"/>
              </w:rPr>
            </w:pPr>
          </w:p>
        </w:tc>
      </w:tr>
      <w:tr>
        <w:tblPrEx>
          <w:tblCellMar>
            <w:top w:w="0" w:type="dxa"/>
            <w:left w:w="0" w:type="dxa"/>
            <w:bottom w:w="0" w:type="dxa"/>
            <w:right w:w="0" w:type="dxa"/>
          </w:tblCellMar>
        </w:tblPrEx>
        <w:trPr>
          <w:trHeight w:val="422" w:hRule="atLeast"/>
        </w:trPr>
        <w:tc>
          <w:tcPr>
            <w:tcW w:w="0" w:type="auto"/>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sz w:val="32"/>
                <w:szCs w:val="32"/>
                <w:u w:val="none"/>
              </w:rPr>
            </w:pPr>
            <w:r>
              <w:rPr>
                <w:rFonts w:hint="eastAsia" w:ascii="仿宋_GB2312" w:hAnsi="仿宋_GB2312" w:eastAsia="仿宋_GB2312" w:cs="仿宋_GB2312"/>
                <w:i w:val="0"/>
                <w:color w:val="auto"/>
                <w:kern w:val="0"/>
                <w:sz w:val="32"/>
                <w:szCs w:val="32"/>
                <w:u w:val="none"/>
                <w:lang w:val="en-US" w:eastAsia="zh-CN" w:bidi="ar"/>
              </w:rPr>
              <w:t>一级</w:t>
            </w:r>
          </w:p>
        </w:tc>
        <w:tc>
          <w:tcPr>
            <w:tcW w:w="0" w:type="auto"/>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sz w:val="32"/>
                <w:szCs w:val="32"/>
                <w:u w:val="none"/>
              </w:rPr>
            </w:pPr>
            <w:r>
              <w:rPr>
                <w:rFonts w:hint="eastAsia" w:ascii="仿宋_GB2312" w:hAnsi="仿宋_GB2312" w:eastAsia="仿宋_GB2312" w:cs="仿宋_GB2312"/>
                <w:i w:val="0"/>
                <w:color w:val="auto"/>
                <w:kern w:val="0"/>
                <w:sz w:val="32"/>
                <w:szCs w:val="32"/>
                <w:u w:val="none"/>
                <w:lang w:val="en-US" w:eastAsia="zh-CN" w:bidi="ar"/>
              </w:rPr>
              <w:t>银州区</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sz w:val="32"/>
                <w:szCs w:val="32"/>
                <w:u w:val="none"/>
              </w:rPr>
            </w:pPr>
            <w:r>
              <w:rPr>
                <w:rFonts w:hint="eastAsia" w:ascii="仿宋_GB2312" w:hAnsi="仿宋_GB2312" w:eastAsia="仿宋_GB2312" w:cs="仿宋_GB2312"/>
                <w:i w:val="0"/>
                <w:color w:val="auto"/>
                <w:kern w:val="0"/>
                <w:sz w:val="32"/>
                <w:szCs w:val="32"/>
                <w:u w:val="none"/>
                <w:lang w:val="en-US" w:eastAsia="zh-CN" w:bidi="ar"/>
              </w:rPr>
              <w:t>前八里村</w:t>
            </w:r>
          </w:p>
        </w:tc>
        <w:tc>
          <w:tcPr>
            <w:tcW w:w="0" w:type="auto"/>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sz w:val="32"/>
                <w:szCs w:val="32"/>
                <w:u w:val="none"/>
              </w:rPr>
            </w:pPr>
            <w:r>
              <w:rPr>
                <w:rFonts w:hint="eastAsia" w:ascii="仿宋_GB2312" w:hAnsi="仿宋_GB2312" w:eastAsia="仿宋_GB2312" w:cs="仿宋_GB2312"/>
                <w:i w:val="0"/>
                <w:color w:val="auto"/>
                <w:kern w:val="0"/>
                <w:sz w:val="32"/>
                <w:szCs w:val="32"/>
                <w:u w:val="none"/>
                <w:lang w:val="en-US" w:eastAsia="zh-CN" w:bidi="ar"/>
              </w:rPr>
              <w:t>546</w:t>
            </w:r>
          </w:p>
        </w:tc>
        <w:tc>
          <w:tcPr>
            <w:tcW w:w="0" w:type="auto"/>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sz w:val="32"/>
                <w:szCs w:val="32"/>
                <w:u w:val="none"/>
              </w:rPr>
            </w:pPr>
            <w:r>
              <w:rPr>
                <w:rFonts w:hint="eastAsia" w:ascii="仿宋_GB2312" w:hAnsi="仿宋_GB2312" w:eastAsia="仿宋_GB2312" w:cs="仿宋_GB2312"/>
                <w:i w:val="0"/>
                <w:color w:val="auto"/>
                <w:kern w:val="0"/>
                <w:sz w:val="32"/>
                <w:szCs w:val="32"/>
                <w:u w:val="none"/>
                <w:lang w:val="en-US" w:eastAsia="zh-CN" w:bidi="ar"/>
              </w:rPr>
              <w:t>228</w:t>
            </w:r>
          </w:p>
        </w:tc>
        <w:tc>
          <w:tcPr>
            <w:tcW w:w="181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sz w:val="32"/>
                <w:szCs w:val="32"/>
                <w:u w:val="none"/>
              </w:rPr>
            </w:pPr>
            <w:r>
              <w:rPr>
                <w:rFonts w:hint="eastAsia" w:ascii="仿宋_GB2312" w:hAnsi="仿宋_GB2312" w:eastAsia="仿宋_GB2312" w:cs="仿宋_GB2312"/>
                <w:i w:val="0"/>
                <w:color w:val="auto"/>
                <w:kern w:val="0"/>
                <w:sz w:val="32"/>
                <w:szCs w:val="32"/>
                <w:u w:val="none"/>
                <w:lang w:val="en-US" w:eastAsia="zh-CN" w:bidi="ar"/>
              </w:rPr>
              <w:t>235</w:t>
            </w:r>
          </w:p>
        </w:tc>
      </w:tr>
      <w:tr>
        <w:tblPrEx>
          <w:tblCellMar>
            <w:top w:w="0" w:type="dxa"/>
            <w:left w:w="0" w:type="dxa"/>
            <w:bottom w:w="0" w:type="dxa"/>
            <w:right w:w="0" w:type="dxa"/>
          </w:tblCellMar>
        </w:tblPrEx>
        <w:trPr>
          <w:trHeight w:val="422" w:hRule="atLeast"/>
        </w:trPr>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auto"/>
                <w:sz w:val="32"/>
                <w:szCs w:val="3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auto"/>
                <w:sz w:val="32"/>
                <w:szCs w:val="32"/>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sz w:val="32"/>
                <w:szCs w:val="32"/>
                <w:u w:val="none"/>
              </w:rPr>
            </w:pPr>
            <w:r>
              <w:rPr>
                <w:rFonts w:hint="eastAsia" w:ascii="仿宋_GB2312" w:hAnsi="仿宋_GB2312" w:eastAsia="仿宋_GB2312" w:cs="仿宋_GB2312"/>
                <w:i w:val="0"/>
                <w:color w:val="auto"/>
                <w:kern w:val="0"/>
                <w:sz w:val="32"/>
                <w:szCs w:val="32"/>
                <w:u w:val="none"/>
                <w:lang w:val="en-US" w:eastAsia="zh-CN" w:bidi="ar"/>
              </w:rPr>
              <w:t>后八里村</w:t>
            </w: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auto"/>
                <w:sz w:val="32"/>
                <w:szCs w:val="3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auto"/>
                <w:sz w:val="32"/>
                <w:szCs w:val="3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auto"/>
                <w:sz w:val="32"/>
                <w:szCs w:val="32"/>
                <w:u w:val="none"/>
              </w:rPr>
            </w:pPr>
          </w:p>
        </w:tc>
      </w:tr>
      <w:tr>
        <w:tblPrEx>
          <w:tblCellMar>
            <w:top w:w="0" w:type="dxa"/>
            <w:left w:w="0" w:type="dxa"/>
            <w:bottom w:w="0" w:type="dxa"/>
            <w:right w:w="0" w:type="dxa"/>
          </w:tblCellMar>
        </w:tblPrEx>
        <w:trPr>
          <w:trHeight w:val="422" w:hRule="atLeast"/>
        </w:trPr>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auto"/>
                <w:sz w:val="32"/>
                <w:szCs w:val="3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auto"/>
                <w:sz w:val="32"/>
                <w:szCs w:val="32"/>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sz w:val="32"/>
                <w:szCs w:val="32"/>
                <w:u w:val="none"/>
              </w:rPr>
            </w:pPr>
            <w:r>
              <w:rPr>
                <w:rFonts w:hint="eastAsia" w:ascii="仿宋_GB2312" w:hAnsi="仿宋_GB2312" w:eastAsia="仿宋_GB2312" w:cs="仿宋_GB2312"/>
                <w:i w:val="0"/>
                <w:color w:val="auto"/>
                <w:kern w:val="0"/>
                <w:sz w:val="32"/>
                <w:szCs w:val="32"/>
                <w:u w:val="none"/>
                <w:lang w:val="en-US" w:eastAsia="zh-CN" w:bidi="ar"/>
              </w:rPr>
              <w:t>园艺村</w:t>
            </w: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auto"/>
                <w:sz w:val="32"/>
                <w:szCs w:val="3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auto"/>
                <w:sz w:val="32"/>
                <w:szCs w:val="3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auto"/>
                <w:sz w:val="32"/>
                <w:szCs w:val="32"/>
                <w:u w:val="none"/>
              </w:rPr>
            </w:pPr>
          </w:p>
        </w:tc>
      </w:tr>
      <w:tr>
        <w:tblPrEx>
          <w:tblCellMar>
            <w:top w:w="0" w:type="dxa"/>
            <w:left w:w="0" w:type="dxa"/>
            <w:bottom w:w="0" w:type="dxa"/>
            <w:right w:w="0" w:type="dxa"/>
          </w:tblCellMar>
        </w:tblPrEx>
        <w:trPr>
          <w:trHeight w:val="422" w:hRule="atLeast"/>
        </w:trPr>
        <w:tc>
          <w:tcPr>
            <w:tcW w:w="0" w:type="auto"/>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sz w:val="32"/>
                <w:szCs w:val="32"/>
                <w:u w:val="none"/>
              </w:rPr>
            </w:pPr>
            <w:r>
              <w:rPr>
                <w:rFonts w:hint="eastAsia" w:ascii="仿宋_GB2312" w:hAnsi="仿宋_GB2312" w:eastAsia="仿宋_GB2312" w:cs="仿宋_GB2312"/>
                <w:i w:val="0"/>
                <w:color w:val="auto"/>
                <w:kern w:val="0"/>
                <w:sz w:val="32"/>
                <w:szCs w:val="32"/>
                <w:u w:val="none"/>
                <w:lang w:val="en-US" w:eastAsia="zh-CN" w:bidi="ar"/>
              </w:rPr>
              <w:t>二级</w:t>
            </w:r>
          </w:p>
        </w:tc>
        <w:tc>
          <w:tcPr>
            <w:tcW w:w="0" w:type="auto"/>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sz w:val="32"/>
                <w:szCs w:val="32"/>
                <w:u w:val="none"/>
              </w:rPr>
            </w:pPr>
            <w:r>
              <w:rPr>
                <w:rFonts w:hint="eastAsia" w:ascii="仿宋_GB2312" w:hAnsi="仿宋_GB2312" w:eastAsia="仿宋_GB2312" w:cs="仿宋_GB2312"/>
                <w:i w:val="0"/>
                <w:color w:val="auto"/>
                <w:kern w:val="0"/>
                <w:sz w:val="32"/>
                <w:szCs w:val="32"/>
                <w:u w:val="none"/>
                <w:lang w:val="en-US" w:eastAsia="zh-CN" w:bidi="ar"/>
              </w:rPr>
              <w:t>银州区</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sz w:val="32"/>
                <w:szCs w:val="32"/>
                <w:u w:val="none"/>
              </w:rPr>
            </w:pPr>
            <w:r>
              <w:rPr>
                <w:rFonts w:hint="eastAsia" w:ascii="仿宋_GB2312" w:hAnsi="仿宋_GB2312" w:eastAsia="仿宋_GB2312" w:cs="仿宋_GB2312"/>
                <w:i w:val="0"/>
                <w:color w:val="auto"/>
                <w:kern w:val="0"/>
                <w:sz w:val="32"/>
                <w:szCs w:val="32"/>
                <w:u w:val="none"/>
                <w:lang w:val="en-US" w:eastAsia="zh-CN" w:bidi="ar"/>
              </w:rPr>
              <w:t>东辽海村</w:t>
            </w:r>
          </w:p>
        </w:tc>
        <w:tc>
          <w:tcPr>
            <w:tcW w:w="0" w:type="auto"/>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sz w:val="32"/>
                <w:szCs w:val="32"/>
                <w:u w:val="none"/>
              </w:rPr>
            </w:pPr>
            <w:r>
              <w:rPr>
                <w:rFonts w:hint="eastAsia" w:ascii="仿宋_GB2312" w:hAnsi="仿宋_GB2312" w:eastAsia="仿宋_GB2312" w:cs="仿宋_GB2312"/>
                <w:i w:val="0"/>
                <w:color w:val="auto"/>
                <w:kern w:val="0"/>
                <w:sz w:val="32"/>
                <w:szCs w:val="32"/>
                <w:u w:val="none"/>
                <w:lang w:val="en-US" w:eastAsia="zh-CN" w:bidi="ar"/>
              </w:rPr>
              <w:t>435</w:t>
            </w:r>
          </w:p>
        </w:tc>
        <w:tc>
          <w:tcPr>
            <w:tcW w:w="0" w:type="auto"/>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sz w:val="32"/>
                <w:szCs w:val="32"/>
                <w:u w:val="none"/>
              </w:rPr>
            </w:pPr>
            <w:r>
              <w:rPr>
                <w:rFonts w:hint="eastAsia" w:ascii="仿宋_GB2312" w:hAnsi="仿宋_GB2312" w:eastAsia="仿宋_GB2312" w:cs="仿宋_GB2312"/>
                <w:i w:val="0"/>
                <w:color w:val="auto"/>
                <w:kern w:val="0"/>
                <w:sz w:val="32"/>
                <w:szCs w:val="32"/>
                <w:u w:val="none"/>
                <w:lang w:val="en-US" w:eastAsia="zh-CN" w:bidi="ar"/>
              </w:rPr>
              <w:t>174</w:t>
            </w:r>
          </w:p>
        </w:tc>
        <w:tc>
          <w:tcPr>
            <w:tcW w:w="181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sz w:val="32"/>
                <w:szCs w:val="32"/>
                <w:u w:val="none"/>
              </w:rPr>
            </w:pPr>
            <w:r>
              <w:rPr>
                <w:rFonts w:hint="eastAsia" w:ascii="仿宋_GB2312" w:hAnsi="仿宋_GB2312" w:eastAsia="仿宋_GB2312" w:cs="仿宋_GB2312"/>
                <w:i w:val="0"/>
                <w:color w:val="auto"/>
                <w:kern w:val="0"/>
                <w:sz w:val="32"/>
                <w:szCs w:val="32"/>
                <w:u w:val="none"/>
                <w:lang w:val="en-US" w:eastAsia="zh-CN" w:bidi="ar"/>
              </w:rPr>
              <w:t>177</w:t>
            </w:r>
          </w:p>
        </w:tc>
      </w:tr>
      <w:tr>
        <w:tblPrEx>
          <w:tblCellMar>
            <w:top w:w="0" w:type="dxa"/>
            <w:left w:w="0" w:type="dxa"/>
            <w:bottom w:w="0" w:type="dxa"/>
            <w:right w:w="0" w:type="dxa"/>
          </w:tblCellMar>
        </w:tblPrEx>
        <w:trPr>
          <w:trHeight w:val="422" w:hRule="atLeast"/>
        </w:trPr>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auto"/>
                <w:sz w:val="32"/>
                <w:szCs w:val="3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auto"/>
                <w:sz w:val="32"/>
                <w:szCs w:val="32"/>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sz w:val="32"/>
                <w:szCs w:val="32"/>
                <w:u w:val="none"/>
              </w:rPr>
            </w:pPr>
            <w:r>
              <w:rPr>
                <w:rFonts w:hint="eastAsia" w:ascii="仿宋_GB2312" w:hAnsi="仿宋_GB2312" w:eastAsia="仿宋_GB2312" w:cs="仿宋_GB2312"/>
                <w:i w:val="0"/>
                <w:color w:val="auto"/>
                <w:kern w:val="0"/>
                <w:sz w:val="32"/>
                <w:szCs w:val="32"/>
                <w:u w:val="none"/>
                <w:lang w:val="en-US" w:eastAsia="zh-CN" w:bidi="ar"/>
              </w:rPr>
              <w:t>腰辽海村</w:t>
            </w: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auto"/>
                <w:sz w:val="32"/>
                <w:szCs w:val="3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auto"/>
                <w:sz w:val="32"/>
                <w:szCs w:val="32"/>
                <w:u w:val="none"/>
              </w:rPr>
            </w:pPr>
          </w:p>
        </w:tc>
        <w:tc>
          <w:tcPr>
            <w:tcW w:w="18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auto"/>
                <w:sz w:val="32"/>
                <w:szCs w:val="32"/>
                <w:u w:val="none"/>
              </w:rPr>
            </w:pPr>
          </w:p>
        </w:tc>
      </w:tr>
      <w:tr>
        <w:tblPrEx>
          <w:tblCellMar>
            <w:top w:w="0" w:type="dxa"/>
            <w:left w:w="0" w:type="dxa"/>
            <w:bottom w:w="0" w:type="dxa"/>
            <w:right w:w="0" w:type="dxa"/>
          </w:tblCellMar>
        </w:tblPrEx>
        <w:trPr>
          <w:trHeight w:val="422" w:hRule="atLeast"/>
        </w:trPr>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auto"/>
                <w:sz w:val="32"/>
                <w:szCs w:val="3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auto"/>
                <w:sz w:val="32"/>
                <w:szCs w:val="32"/>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sz w:val="32"/>
                <w:szCs w:val="32"/>
                <w:u w:val="none"/>
              </w:rPr>
            </w:pPr>
            <w:r>
              <w:rPr>
                <w:rFonts w:hint="eastAsia" w:ascii="仿宋_GB2312" w:hAnsi="仿宋_GB2312" w:eastAsia="仿宋_GB2312" w:cs="仿宋_GB2312"/>
                <w:i w:val="0"/>
                <w:color w:val="auto"/>
                <w:kern w:val="0"/>
                <w:sz w:val="32"/>
                <w:szCs w:val="32"/>
                <w:u w:val="none"/>
                <w:lang w:val="en-US" w:eastAsia="zh-CN" w:bidi="ar"/>
              </w:rPr>
              <w:t>西辽海村</w:t>
            </w: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auto"/>
                <w:sz w:val="32"/>
                <w:szCs w:val="3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auto"/>
                <w:sz w:val="32"/>
                <w:szCs w:val="32"/>
                <w:u w:val="none"/>
              </w:rPr>
            </w:pPr>
          </w:p>
        </w:tc>
        <w:tc>
          <w:tcPr>
            <w:tcW w:w="18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auto"/>
                <w:sz w:val="32"/>
                <w:szCs w:val="32"/>
                <w:u w:val="none"/>
              </w:rPr>
            </w:pPr>
          </w:p>
        </w:tc>
      </w:tr>
      <w:tr>
        <w:tblPrEx>
          <w:tblCellMar>
            <w:top w:w="0" w:type="dxa"/>
            <w:left w:w="0" w:type="dxa"/>
            <w:bottom w:w="0" w:type="dxa"/>
            <w:right w:w="0" w:type="dxa"/>
          </w:tblCellMar>
        </w:tblPrEx>
        <w:trPr>
          <w:trHeight w:val="422" w:hRule="atLeast"/>
        </w:trPr>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auto"/>
                <w:sz w:val="32"/>
                <w:szCs w:val="3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auto"/>
                <w:sz w:val="32"/>
                <w:szCs w:val="32"/>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sz w:val="32"/>
                <w:szCs w:val="32"/>
                <w:u w:val="none"/>
              </w:rPr>
            </w:pPr>
            <w:r>
              <w:rPr>
                <w:rFonts w:hint="eastAsia" w:ascii="仿宋_GB2312" w:hAnsi="仿宋_GB2312" w:eastAsia="仿宋_GB2312" w:cs="仿宋_GB2312"/>
                <w:i w:val="0"/>
                <w:color w:val="auto"/>
                <w:kern w:val="0"/>
                <w:sz w:val="32"/>
                <w:szCs w:val="32"/>
                <w:u w:val="none"/>
                <w:lang w:val="en-US" w:eastAsia="zh-CN" w:bidi="ar"/>
              </w:rPr>
              <w:t>英城子村</w:t>
            </w: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auto"/>
                <w:sz w:val="32"/>
                <w:szCs w:val="3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auto"/>
                <w:sz w:val="32"/>
                <w:szCs w:val="32"/>
                <w:u w:val="none"/>
              </w:rPr>
            </w:pPr>
          </w:p>
        </w:tc>
        <w:tc>
          <w:tcPr>
            <w:tcW w:w="18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auto"/>
                <w:sz w:val="32"/>
                <w:szCs w:val="32"/>
                <w:u w:val="none"/>
              </w:rPr>
            </w:pPr>
          </w:p>
        </w:tc>
      </w:tr>
      <w:tr>
        <w:tblPrEx>
          <w:tblCellMar>
            <w:top w:w="0" w:type="dxa"/>
            <w:left w:w="0" w:type="dxa"/>
            <w:bottom w:w="0" w:type="dxa"/>
            <w:right w:w="0" w:type="dxa"/>
          </w:tblCellMar>
        </w:tblPrEx>
        <w:trPr>
          <w:trHeight w:val="422" w:hRule="atLeast"/>
        </w:trPr>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auto"/>
                <w:sz w:val="32"/>
                <w:szCs w:val="3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auto"/>
                <w:sz w:val="32"/>
                <w:szCs w:val="32"/>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sz w:val="32"/>
                <w:szCs w:val="32"/>
                <w:u w:val="none"/>
              </w:rPr>
            </w:pPr>
            <w:r>
              <w:rPr>
                <w:rFonts w:hint="eastAsia" w:ascii="仿宋_GB2312" w:hAnsi="仿宋_GB2312" w:eastAsia="仿宋_GB2312" w:cs="仿宋_GB2312"/>
                <w:i w:val="0"/>
                <w:color w:val="auto"/>
                <w:kern w:val="0"/>
                <w:sz w:val="32"/>
                <w:szCs w:val="32"/>
                <w:u w:val="none"/>
                <w:lang w:val="en-US" w:eastAsia="zh-CN" w:bidi="ar"/>
              </w:rPr>
              <w:t>七里屯村</w:t>
            </w: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auto"/>
                <w:sz w:val="32"/>
                <w:szCs w:val="3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auto"/>
                <w:sz w:val="32"/>
                <w:szCs w:val="32"/>
                <w:u w:val="none"/>
              </w:rPr>
            </w:pPr>
          </w:p>
        </w:tc>
        <w:tc>
          <w:tcPr>
            <w:tcW w:w="18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auto"/>
                <w:sz w:val="32"/>
                <w:szCs w:val="32"/>
                <w:u w:val="none"/>
              </w:rPr>
            </w:pPr>
          </w:p>
        </w:tc>
      </w:tr>
      <w:tr>
        <w:tblPrEx>
          <w:tblCellMar>
            <w:top w:w="0" w:type="dxa"/>
            <w:left w:w="0" w:type="dxa"/>
            <w:bottom w:w="0" w:type="dxa"/>
            <w:right w:w="0" w:type="dxa"/>
          </w:tblCellMar>
        </w:tblPrEx>
        <w:trPr>
          <w:trHeight w:val="422" w:hRule="atLeast"/>
        </w:trPr>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auto"/>
                <w:sz w:val="32"/>
                <w:szCs w:val="3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auto"/>
                <w:sz w:val="32"/>
                <w:szCs w:val="32"/>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sz w:val="32"/>
                <w:szCs w:val="32"/>
                <w:u w:val="none"/>
              </w:rPr>
            </w:pPr>
            <w:r>
              <w:rPr>
                <w:rFonts w:hint="eastAsia" w:ascii="仿宋_GB2312" w:hAnsi="仿宋_GB2312" w:eastAsia="仿宋_GB2312" w:cs="仿宋_GB2312"/>
                <w:i w:val="0"/>
                <w:color w:val="auto"/>
                <w:kern w:val="0"/>
                <w:sz w:val="32"/>
                <w:szCs w:val="32"/>
                <w:u w:val="none"/>
                <w:lang w:val="en-US" w:eastAsia="zh-CN" w:bidi="ar"/>
              </w:rPr>
              <w:t>牛岗子村</w:t>
            </w: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auto"/>
                <w:sz w:val="32"/>
                <w:szCs w:val="3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auto"/>
                <w:sz w:val="32"/>
                <w:szCs w:val="32"/>
                <w:u w:val="none"/>
              </w:rPr>
            </w:pPr>
          </w:p>
        </w:tc>
        <w:tc>
          <w:tcPr>
            <w:tcW w:w="18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auto"/>
                <w:sz w:val="32"/>
                <w:szCs w:val="32"/>
                <w:u w:val="none"/>
              </w:rPr>
            </w:pPr>
          </w:p>
        </w:tc>
      </w:tr>
      <w:tr>
        <w:tblPrEx>
          <w:tblCellMar>
            <w:top w:w="0" w:type="dxa"/>
            <w:left w:w="0" w:type="dxa"/>
            <w:bottom w:w="0" w:type="dxa"/>
            <w:right w:w="0" w:type="dxa"/>
          </w:tblCellMar>
        </w:tblPrEx>
        <w:trPr>
          <w:trHeight w:val="422" w:hRule="atLeast"/>
        </w:trPr>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auto"/>
                <w:sz w:val="32"/>
                <w:szCs w:val="3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auto"/>
                <w:sz w:val="32"/>
                <w:szCs w:val="32"/>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sz w:val="32"/>
                <w:szCs w:val="32"/>
                <w:u w:val="none"/>
              </w:rPr>
            </w:pPr>
            <w:r>
              <w:rPr>
                <w:rFonts w:hint="eastAsia" w:ascii="仿宋_GB2312" w:hAnsi="仿宋_GB2312" w:eastAsia="仿宋_GB2312" w:cs="仿宋_GB2312"/>
                <w:i w:val="0"/>
                <w:color w:val="auto"/>
                <w:kern w:val="0"/>
                <w:sz w:val="32"/>
                <w:szCs w:val="32"/>
                <w:u w:val="none"/>
                <w:lang w:val="en-US" w:eastAsia="zh-CN" w:bidi="ar"/>
              </w:rPr>
              <w:t>柴河东村</w:t>
            </w: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auto"/>
                <w:sz w:val="32"/>
                <w:szCs w:val="3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auto"/>
                <w:sz w:val="32"/>
                <w:szCs w:val="32"/>
                <w:u w:val="none"/>
              </w:rPr>
            </w:pPr>
          </w:p>
        </w:tc>
        <w:tc>
          <w:tcPr>
            <w:tcW w:w="18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auto"/>
                <w:sz w:val="32"/>
                <w:szCs w:val="32"/>
                <w:u w:val="none"/>
              </w:rPr>
            </w:pPr>
          </w:p>
        </w:tc>
      </w:tr>
      <w:tr>
        <w:tblPrEx>
          <w:tblCellMar>
            <w:top w:w="0" w:type="dxa"/>
            <w:left w:w="0" w:type="dxa"/>
            <w:bottom w:w="0" w:type="dxa"/>
            <w:right w:w="0" w:type="dxa"/>
          </w:tblCellMar>
        </w:tblPrEx>
        <w:trPr>
          <w:trHeight w:val="422" w:hRule="atLeast"/>
        </w:trPr>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auto"/>
                <w:sz w:val="32"/>
                <w:szCs w:val="3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auto"/>
                <w:sz w:val="32"/>
                <w:szCs w:val="32"/>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sz w:val="32"/>
                <w:szCs w:val="32"/>
                <w:u w:val="none"/>
              </w:rPr>
            </w:pPr>
            <w:r>
              <w:rPr>
                <w:rFonts w:hint="eastAsia" w:ascii="仿宋_GB2312" w:hAnsi="仿宋_GB2312" w:eastAsia="仿宋_GB2312" w:cs="仿宋_GB2312"/>
                <w:i w:val="0"/>
                <w:color w:val="auto"/>
                <w:kern w:val="0"/>
                <w:sz w:val="32"/>
                <w:szCs w:val="32"/>
                <w:u w:val="none"/>
                <w:lang w:val="en-US" w:eastAsia="zh-CN" w:bidi="ar"/>
              </w:rPr>
              <w:t>柴河西村</w:t>
            </w: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auto"/>
                <w:sz w:val="32"/>
                <w:szCs w:val="3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auto"/>
                <w:sz w:val="32"/>
                <w:szCs w:val="32"/>
                <w:u w:val="none"/>
              </w:rPr>
            </w:pPr>
          </w:p>
        </w:tc>
        <w:tc>
          <w:tcPr>
            <w:tcW w:w="18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auto"/>
                <w:sz w:val="32"/>
                <w:szCs w:val="32"/>
                <w:u w:val="none"/>
              </w:rPr>
            </w:pPr>
          </w:p>
        </w:tc>
      </w:tr>
      <w:tr>
        <w:tblPrEx>
          <w:tblCellMar>
            <w:top w:w="0" w:type="dxa"/>
            <w:left w:w="0" w:type="dxa"/>
            <w:bottom w:w="0" w:type="dxa"/>
            <w:right w:w="0" w:type="dxa"/>
          </w:tblCellMar>
        </w:tblPrEx>
        <w:trPr>
          <w:trHeight w:val="422" w:hRule="atLeast"/>
        </w:trPr>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auto"/>
                <w:sz w:val="32"/>
                <w:szCs w:val="3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auto"/>
                <w:sz w:val="32"/>
                <w:szCs w:val="32"/>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sz w:val="32"/>
                <w:szCs w:val="32"/>
                <w:u w:val="none"/>
              </w:rPr>
            </w:pPr>
            <w:r>
              <w:rPr>
                <w:rFonts w:hint="eastAsia" w:ascii="仿宋_GB2312" w:hAnsi="仿宋_GB2312" w:eastAsia="仿宋_GB2312" w:cs="仿宋_GB2312"/>
                <w:i w:val="0"/>
                <w:color w:val="auto"/>
                <w:kern w:val="0"/>
                <w:sz w:val="32"/>
                <w:szCs w:val="32"/>
                <w:u w:val="none"/>
                <w:lang w:val="en-US" w:eastAsia="zh-CN" w:bidi="ar"/>
              </w:rPr>
              <w:t>地运所村</w:t>
            </w: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auto"/>
                <w:sz w:val="32"/>
                <w:szCs w:val="3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auto"/>
                <w:sz w:val="32"/>
                <w:szCs w:val="32"/>
                <w:u w:val="none"/>
              </w:rPr>
            </w:pPr>
          </w:p>
        </w:tc>
        <w:tc>
          <w:tcPr>
            <w:tcW w:w="18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auto"/>
                <w:sz w:val="32"/>
                <w:szCs w:val="32"/>
                <w:u w:val="none"/>
              </w:rPr>
            </w:pPr>
          </w:p>
        </w:tc>
      </w:tr>
      <w:tr>
        <w:tblPrEx>
          <w:tblCellMar>
            <w:top w:w="0" w:type="dxa"/>
            <w:left w:w="0" w:type="dxa"/>
            <w:bottom w:w="0" w:type="dxa"/>
            <w:right w:w="0" w:type="dxa"/>
          </w:tblCellMar>
        </w:tblPrEx>
        <w:trPr>
          <w:trHeight w:val="445" w:hRule="atLeast"/>
        </w:trPr>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auto"/>
                <w:sz w:val="32"/>
                <w:szCs w:val="32"/>
                <w:u w:val="none"/>
              </w:rPr>
            </w:pPr>
          </w:p>
        </w:tc>
        <w:tc>
          <w:tcPr>
            <w:tcW w:w="0" w:type="auto"/>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sz w:val="32"/>
                <w:szCs w:val="32"/>
                <w:u w:val="none"/>
              </w:rPr>
            </w:pPr>
            <w:r>
              <w:rPr>
                <w:rFonts w:hint="eastAsia" w:ascii="仿宋_GB2312" w:hAnsi="仿宋_GB2312" w:eastAsia="仿宋_GB2312" w:cs="仿宋_GB2312"/>
                <w:i w:val="0"/>
                <w:color w:val="auto"/>
                <w:kern w:val="0"/>
                <w:sz w:val="32"/>
                <w:szCs w:val="32"/>
                <w:u w:val="none"/>
                <w:lang w:val="en-US" w:eastAsia="zh-CN" w:bidi="ar"/>
              </w:rPr>
              <w:t>凡河新区</w:t>
            </w: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auto"/>
                <w:sz w:val="32"/>
                <w:szCs w:val="3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auto"/>
                <w:sz w:val="32"/>
                <w:szCs w:val="32"/>
                <w:u w:val="none"/>
              </w:rPr>
            </w:pPr>
          </w:p>
        </w:tc>
        <w:tc>
          <w:tcPr>
            <w:tcW w:w="18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auto"/>
                <w:sz w:val="32"/>
                <w:szCs w:val="32"/>
                <w:u w:val="none"/>
              </w:rPr>
            </w:pP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before="120" w:line="600" w:lineRule="exact"/>
        <w:ind w:leftChars="0" w:firstLine="640" w:firstLineChars="200"/>
        <w:jc w:val="left"/>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 xml:space="preserve">四、地价内涵 </w:t>
      </w:r>
    </w:p>
    <w:p>
      <w:pPr>
        <w:keepNext w:val="0"/>
        <w:keepLines w:val="0"/>
        <w:pageBreakBefore w:val="0"/>
        <w:widowControl w:val="0"/>
        <w:kinsoku/>
        <w:wordWrap/>
        <w:overflowPunct/>
        <w:topLinePunct w:val="0"/>
        <w:autoSpaceDE/>
        <w:autoSpaceDN/>
        <w:bidi w:val="0"/>
        <w:adjustRightInd/>
        <w:snapToGrid/>
        <w:spacing w:line="600" w:lineRule="exact"/>
        <w:ind w:firstLine="561"/>
        <w:jc w:val="left"/>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（一）估价期日。本次基准地价估价期日为2021年1月1日。</w:t>
      </w:r>
    </w:p>
    <w:p>
      <w:pPr>
        <w:keepNext w:val="0"/>
        <w:keepLines w:val="0"/>
        <w:pageBreakBefore w:val="0"/>
        <w:widowControl w:val="0"/>
        <w:kinsoku/>
        <w:wordWrap/>
        <w:overflowPunct/>
        <w:topLinePunct w:val="0"/>
        <w:autoSpaceDE/>
        <w:autoSpaceDN/>
        <w:bidi w:val="0"/>
        <w:adjustRightInd/>
        <w:snapToGrid/>
        <w:spacing w:line="600" w:lineRule="exact"/>
        <w:ind w:firstLine="561"/>
        <w:jc w:val="left"/>
        <w:textAlignment w:val="auto"/>
        <w:rPr>
          <w:rFonts w:hint="eastAsia" w:ascii="仿宋_GB2312" w:hAnsi="仿宋_GB2312" w:eastAsia="仿宋_GB2312" w:cs="仿宋_GB2312"/>
          <w:b w:val="0"/>
          <w:bCs w:val="0"/>
          <w:color w:val="auto"/>
          <w:sz w:val="32"/>
          <w:szCs w:val="32"/>
          <w:lang w:val="en-US" w:eastAsia="zh-CN"/>
        </w:rPr>
      </w:pPr>
      <w:bookmarkStart w:id="1" w:name="_Toc410661441"/>
      <w:r>
        <w:rPr>
          <w:rFonts w:hint="eastAsia" w:ascii="仿宋_GB2312" w:hAnsi="仿宋_GB2312" w:eastAsia="仿宋_GB2312" w:cs="仿宋_GB2312"/>
          <w:b w:val="0"/>
          <w:bCs w:val="0"/>
          <w:color w:val="auto"/>
          <w:sz w:val="32"/>
          <w:szCs w:val="32"/>
          <w:lang w:val="en-US" w:eastAsia="zh-CN"/>
        </w:rPr>
        <w:t>（二）土地用途</w:t>
      </w:r>
      <w:bookmarkEnd w:id="1"/>
      <w:r>
        <w:rPr>
          <w:rFonts w:hint="eastAsia" w:ascii="仿宋_GB2312" w:hAnsi="仿宋_GB2312" w:eastAsia="仿宋_GB2312" w:cs="仿宋_GB2312"/>
          <w:b w:val="0"/>
          <w:bCs w:val="0"/>
          <w:color w:val="auto"/>
          <w:sz w:val="32"/>
          <w:szCs w:val="32"/>
          <w:lang w:val="en-US" w:eastAsia="zh-CN"/>
        </w:rPr>
        <w:t>。根据《土地利用现状分类》按商服用地、工业用地、宅基地等土地用途进行分类评估。</w:t>
      </w:r>
    </w:p>
    <w:p>
      <w:pPr>
        <w:keepNext w:val="0"/>
        <w:keepLines w:val="0"/>
        <w:pageBreakBefore w:val="0"/>
        <w:widowControl w:val="0"/>
        <w:kinsoku/>
        <w:wordWrap/>
        <w:overflowPunct/>
        <w:topLinePunct w:val="0"/>
        <w:autoSpaceDE/>
        <w:autoSpaceDN/>
        <w:bidi w:val="0"/>
        <w:adjustRightInd/>
        <w:snapToGrid/>
        <w:spacing w:line="600" w:lineRule="exact"/>
        <w:ind w:firstLine="561"/>
        <w:jc w:val="left"/>
        <w:textAlignment w:val="auto"/>
        <w:rPr>
          <w:rFonts w:hint="eastAsia" w:ascii="仿宋_GB2312" w:hAnsi="仿宋_GB2312" w:eastAsia="仿宋_GB2312" w:cs="仿宋_GB2312"/>
          <w:b w:val="0"/>
          <w:bCs w:val="0"/>
          <w:color w:val="auto"/>
          <w:sz w:val="32"/>
          <w:szCs w:val="32"/>
          <w:lang w:val="en-US" w:eastAsia="zh-CN"/>
        </w:rPr>
      </w:pPr>
      <w:bookmarkStart w:id="2" w:name="_Toc410661442"/>
      <w:r>
        <w:rPr>
          <w:rFonts w:hint="eastAsia" w:ascii="仿宋_GB2312" w:hAnsi="仿宋_GB2312" w:eastAsia="仿宋_GB2312" w:cs="仿宋_GB2312"/>
          <w:b w:val="0"/>
          <w:bCs w:val="0"/>
          <w:color w:val="auto"/>
          <w:sz w:val="32"/>
          <w:szCs w:val="32"/>
          <w:lang w:val="en-US" w:eastAsia="zh-CN"/>
        </w:rPr>
        <w:t>（三）土地权利状况</w:t>
      </w:r>
      <w:bookmarkEnd w:id="2"/>
      <w:r>
        <w:rPr>
          <w:rFonts w:hint="eastAsia" w:ascii="仿宋_GB2312" w:hAnsi="仿宋_GB2312" w:eastAsia="仿宋_GB2312" w:cs="仿宋_GB2312"/>
          <w:b w:val="0"/>
          <w:bCs w:val="0"/>
          <w:color w:val="auto"/>
          <w:sz w:val="32"/>
          <w:szCs w:val="32"/>
          <w:lang w:val="en-US" w:eastAsia="zh-CN"/>
        </w:rPr>
        <w:t>。集体经营性建设用地设定为出让土地使用权，宅基地设定为宅基地使用权。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b w:val="0"/>
          <w:bCs w:val="0"/>
          <w:color w:val="auto"/>
          <w:sz w:val="32"/>
          <w:szCs w:val="32"/>
          <w:lang w:val="en-US" w:eastAsia="zh-CN"/>
        </w:rPr>
      </w:pPr>
      <w:bookmarkStart w:id="3" w:name="_Toc410661443"/>
      <w:r>
        <w:rPr>
          <w:rFonts w:hint="eastAsia" w:ascii="仿宋_GB2312" w:hAnsi="仿宋_GB2312" w:eastAsia="仿宋_GB2312" w:cs="仿宋_GB2312"/>
          <w:b w:val="0"/>
          <w:bCs w:val="0"/>
          <w:color w:val="auto"/>
          <w:sz w:val="32"/>
          <w:szCs w:val="32"/>
          <w:lang w:val="en-US" w:eastAsia="zh-CN"/>
        </w:rPr>
        <w:t>（四）土地使用年期</w:t>
      </w:r>
      <w:bookmarkEnd w:id="3"/>
      <w:r>
        <w:rPr>
          <w:rFonts w:hint="eastAsia" w:ascii="仿宋_GB2312" w:hAnsi="仿宋_GB2312" w:eastAsia="仿宋_GB2312" w:cs="仿宋_GB2312"/>
          <w:b w:val="0"/>
          <w:bCs w:val="0"/>
          <w:color w:val="auto"/>
          <w:sz w:val="32"/>
          <w:szCs w:val="32"/>
          <w:lang w:val="en-US" w:eastAsia="zh-CN"/>
        </w:rPr>
        <w:t>。根据《集体建设用地定级与基准地价评估成果编制指引（试行）》，土地使用年期设定应不高于相同用途的国有建设用地法定最高使用年期。对使用年期无具体规定的宅基地，可按无年期限制设定。此次集体建设用地使用权设定的使用年期为商业为40年，工业为50年，宅基地年期为无限年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b w:val="0"/>
          <w:bCs w:val="0"/>
          <w:color w:val="auto"/>
          <w:sz w:val="32"/>
          <w:szCs w:val="32"/>
          <w:lang w:val="en-US" w:eastAsia="zh-CN"/>
        </w:rPr>
      </w:pPr>
      <w:bookmarkStart w:id="4" w:name="_Toc410661444"/>
      <w:r>
        <w:rPr>
          <w:rFonts w:hint="eastAsia" w:ascii="仿宋_GB2312" w:hAnsi="仿宋_GB2312" w:eastAsia="仿宋_GB2312" w:cs="仿宋_GB2312"/>
          <w:b w:val="0"/>
          <w:bCs w:val="0"/>
          <w:color w:val="auto"/>
          <w:sz w:val="32"/>
          <w:szCs w:val="32"/>
          <w:lang w:val="en-US" w:eastAsia="zh-CN"/>
        </w:rPr>
        <w:t>（五）开发程度</w:t>
      </w:r>
      <w:bookmarkEnd w:id="4"/>
      <w:r>
        <w:rPr>
          <w:rFonts w:hint="eastAsia" w:ascii="仿宋_GB2312" w:hAnsi="仿宋_GB2312" w:eastAsia="仿宋_GB2312" w:cs="仿宋_GB2312"/>
          <w:b w:val="0"/>
          <w:bCs w:val="0"/>
          <w:color w:val="auto"/>
          <w:sz w:val="32"/>
          <w:szCs w:val="32"/>
          <w:lang w:val="en-US" w:eastAsia="zh-CN"/>
        </w:rPr>
        <w:t>。经过实地调查，符合土地利用总体规划的集体建设用地开发程度普遍达到宗地红线外“五通”（即，通电、通路、通讯、供水、排水）及红线内场地平整，故此次基准地价内涵中土地开发程度界定为宗地红线外“五通”及红线内场地平整。</w:t>
      </w:r>
    </w:p>
    <w:p>
      <w:pPr>
        <w:keepNext w:val="0"/>
        <w:keepLines w:val="0"/>
        <w:pageBreakBefore w:val="0"/>
        <w:widowControl w:val="0"/>
        <w:kinsoku/>
        <w:wordWrap/>
        <w:overflowPunct/>
        <w:topLinePunct w:val="0"/>
        <w:autoSpaceDE/>
        <w:autoSpaceDN/>
        <w:bidi w:val="0"/>
        <w:adjustRightInd/>
        <w:snapToGrid/>
        <w:spacing w:line="600" w:lineRule="exact"/>
        <w:ind w:firstLine="561"/>
        <w:jc w:val="left"/>
        <w:textAlignment w:val="auto"/>
        <w:rPr>
          <w:rFonts w:hint="eastAsia" w:ascii="仿宋_GB2312" w:hAnsi="仿宋_GB2312" w:eastAsia="仿宋_GB2312" w:cs="仿宋_GB2312"/>
          <w:b w:val="0"/>
          <w:bCs w:val="0"/>
          <w:color w:val="auto"/>
          <w:sz w:val="32"/>
          <w:szCs w:val="32"/>
          <w:lang w:val="en-US" w:eastAsia="zh-CN"/>
        </w:rPr>
      </w:pPr>
      <w:bookmarkStart w:id="5" w:name="_Toc410661445"/>
      <w:r>
        <w:rPr>
          <w:rFonts w:hint="eastAsia" w:ascii="仿宋_GB2312" w:hAnsi="仿宋_GB2312" w:eastAsia="仿宋_GB2312" w:cs="仿宋_GB2312"/>
          <w:b w:val="0"/>
          <w:bCs w:val="0"/>
          <w:color w:val="auto"/>
          <w:sz w:val="32"/>
          <w:szCs w:val="32"/>
          <w:lang w:val="en-US" w:eastAsia="zh-CN"/>
        </w:rPr>
        <w:t>（六）容积率</w:t>
      </w:r>
      <w:bookmarkEnd w:id="5"/>
      <w:r>
        <w:rPr>
          <w:rFonts w:hint="eastAsia" w:ascii="仿宋_GB2312" w:hAnsi="仿宋_GB2312" w:eastAsia="仿宋_GB2312" w:cs="仿宋_GB2312"/>
          <w:b w:val="0"/>
          <w:bCs w:val="0"/>
          <w:color w:val="auto"/>
          <w:sz w:val="32"/>
          <w:szCs w:val="32"/>
          <w:lang w:val="en-US" w:eastAsia="zh-CN"/>
        </w:rPr>
        <w:t>。根据采集到各用地类型样点资料的容积率平均数，确定商业用地、宅基地和工业用地的内涵容积率均为1.0。</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840" w:leftChars="0"/>
        <w:jc w:val="center"/>
        <w:textAlignment w:val="auto"/>
        <w:rPr>
          <w:rFonts w:hint="eastAsia" w:ascii="仿宋_GB2312" w:hAnsi="仿宋_GB2312" w:eastAsia="仿宋_GB2312" w:cs="仿宋_GB2312"/>
          <w:b/>
          <w:bCs/>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840" w:leftChars="0"/>
        <w:jc w:val="center"/>
        <w:textAlignment w:val="auto"/>
        <w:rPr>
          <w:rFonts w:hint="eastAsia" w:ascii="仿宋_GB2312" w:hAnsi="仿宋_GB2312" w:eastAsia="仿宋_GB2312" w:cs="仿宋_GB2312"/>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840" w:leftChars="0"/>
        <w:jc w:val="center"/>
        <w:textAlignment w:val="auto"/>
        <w:rPr>
          <w:rFonts w:hint="eastAsia" w:ascii="仿宋_GB2312" w:hAnsi="仿宋_GB2312" w:eastAsia="仿宋_GB2312" w:cs="仿宋_GB2312"/>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840" w:leftChars="0"/>
        <w:jc w:val="center"/>
        <w:textAlignment w:val="auto"/>
        <w:rPr>
          <w:rFonts w:hint="eastAsia" w:ascii="仿宋_GB2312" w:hAnsi="仿宋_GB2312" w:eastAsia="仿宋_GB2312" w:cs="仿宋_GB2312"/>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840" w:leftChars="0"/>
        <w:jc w:val="center"/>
        <w:textAlignment w:val="auto"/>
        <w:rPr>
          <w:rFonts w:hint="eastAsia" w:ascii="仿宋_GB2312" w:hAnsi="仿宋_GB2312" w:eastAsia="仿宋_GB2312" w:cs="仿宋_GB2312"/>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840" w:leftChars="0"/>
        <w:jc w:val="center"/>
        <w:textAlignment w:val="auto"/>
        <w:rPr>
          <w:rFonts w:hint="eastAsia" w:ascii="仿宋_GB2312" w:hAnsi="仿宋_GB2312" w:eastAsia="仿宋_GB2312" w:cs="仿宋_GB2312"/>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840" w:leftChars="0"/>
        <w:jc w:val="center"/>
        <w:textAlignment w:val="auto"/>
        <w:rPr>
          <w:rFonts w:hint="eastAsia" w:ascii="仿宋_GB2312" w:hAnsi="仿宋_GB2312" w:eastAsia="仿宋_GB2312" w:cs="仿宋_GB2312"/>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840" w:leftChars="0"/>
        <w:jc w:val="center"/>
        <w:textAlignment w:val="auto"/>
        <w:rPr>
          <w:rFonts w:hint="eastAsia" w:ascii="仿宋_GB2312" w:hAnsi="仿宋_GB2312" w:eastAsia="仿宋_GB2312" w:cs="仿宋_GB2312"/>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840" w:leftChars="0"/>
        <w:jc w:val="center"/>
        <w:textAlignment w:val="auto"/>
        <w:rPr>
          <w:rFonts w:hint="eastAsia" w:ascii="仿宋_GB2312" w:hAnsi="仿宋_GB2312" w:eastAsia="仿宋_GB2312" w:cs="仿宋_GB2312"/>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840" w:leftChars="0"/>
        <w:jc w:val="center"/>
        <w:textAlignment w:val="auto"/>
        <w:rPr>
          <w:rFonts w:hint="eastAsia" w:ascii="仿宋_GB2312" w:hAnsi="仿宋_GB2312" w:eastAsia="仿宋_GB2312" w:cs="仿宋_GB2312"/>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840" w:leftChars="0"/>
        <w:jc w:val="center"/>
        <w:textAlignment w:val="auto"/>
        <w:rPr>
          <w:rFonts w:hint="eastAsia" w:ascii="仿宋_GB2312" w:hAnsi="仿宋_GB2312" w:eastAsia="仿宋_GB2312" w:cs="仿宋_GB2312"/>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附件2</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840" w:leftChars="0"/>
        <w:jc w:val="center"/>
        <w:textAlignment w:val="auto"/>
        <w:rPr>
          <w:rFonts w:hint="eastAsia" w:ascii="仿宋_GB2312" w:hAnsi="仿宋_GB2312" w:eastAsia="仿宋_GB2312" w:cs="仿宋_GB2312"/>
          <w:b/>
          <w:bCs/>
          <w:i w:val="0"/>
          <w:caps w:val="0"/>
          <w:color w:val="auto"/>
          <w:spacing w:val="0"/>
          <w:sz w:val="36"/>
          <w:szCs w:val="36"/>
          <w:u w:val="none"/>
          <w:shd w:val="clear" w:color="auto" w:fill="FFFFFF"/>
        </w:rPr>
      </w:pPr>
      <w:r>
        <w:rPr>
          <w:rFonts w:hint="eastAsia" w:ascii="仿宋_GB2312" w:hAnsi="仿宋_GB2312" w:eastAsia="仿宋_GB2312" w:cs="仿宋_GB2312"/>
          <w:b/>
          <w:bCs/>
          <w:color w:val="auto"/>
          <w:sz w:val="36"/>
          <w:szCs w:val="36"/>
          <w:lang w:val="en-US" w:eastAsia="zh-CN"/>
        </w:rPr>
        <w:t>铁岭市本级</w:t>
      </w:r>
      <w:r>
        <w:rPr>
          <w:rFonts w:hint="eastAsia" w:ascii="仿宋_GB2312" w:hAnsi="仿宋_GB2312" w:eastAsia="仿宋_GB2312" w:cs="仿宋_GB2312"/>
          <w:b/>
          <w:bCs/>
          <w:i w:val="0"/>
          <w:caps w:val="0"/>
          <w:color w:val="auto"/>
          <w:spacing w:val="0"/>
          <w:sz w:val="36"/>
          <w:szCs w:val="36"/>
          <w:u w:val="none"/>
          <w:shd w:val="clear" w:color="auto" w:fill="FFFFFF"/>
        </w:rPr>
        <w:t>集体农用地基准地价成果</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20" w:line="600" w:lineRule="exact"/>
        <w:ind w:leftChars="0" w:firstLine="640" w:firstLineChars="200"/>
        <w:jc w:val="left"/>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一、工作范围</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银州区集体农用地2924.22公顷</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rPr>
        <w:t>凡河新区集体农用地1069.53公顷</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rPr>
        <w:t>合计3993.75公顷。本次主要评估制定其中旱地、水浇地和水田</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总面积为</w:t>
      </w:r>
      <w:r>
        <w:rPr>
          <w:rFonts w:hint="eastAsia" w:ascii="仿宋_GB2312" w:hAnsi="仿宋_GB2312" w:eastAsia="仿宋_GB2312" w:cs="仿宋_GB2312"/>
          <w:color w:val="auto"/>
          <w:sz w:val="32"/>
          <w:szCs w:val="32"/>
          <w:lang w:val="en-US" w:bidi="ar"/>
        </w:rPr>
        <w:t>2639.18</w:t>
      </w:r>
      <w:r>
        <w:rPr>
          <w:rFonts w:hint="eastAsia" w:ascii="仿宋_GB2312" w:hAnsi="仿宋_GB2312" w:eastAsia="仿宋_GB2312" w:cs="仿宋_GB2312"/>
          <w:color w:val="auto"/>
          <w:sz w:val="32"/>
          <w:szCs w:val="32"/>
        </w:rPr>
        <w:t>公顷</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20" w:line="600" w:lineRule="exact"/>
        <w:ind w:leftChars="0" w:firstLine="640" w:firstLineChars="200"/>
        <w:jc w:val="left"/>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二、土地级别</w:t>
      </w:r>
    </w:p>
    <w:p>
      <w:pPr>
        <w:pStyle w:val="4"/>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leftChars="0" w:firstLine="640" w:firstLineChars="200"/>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依据《农用地定级规程》,共划分出</w:t>
      </w:r>
      <w:r>
        <w:rPr>
          <w:rFonts w:hint="eastAsia" w:ascii="仿宋_GB2312" w:hAnsi="仿宋_GB2312" w:eastAsia="仿宋_GB2312" w:cs="仿宋_GB2312"/>
          <w:i w:val="0"/>
          <w:caps w:val="0"/>
          <w:color w:val="auto"/>
          <w:spacing w:val="0"/>
          <w:sz w:val="32"/>
          <w:szCs w:val="32"/>
          <w:u w:val="none"/>
          <w:shd w:val="clear" w:color="auto" w:fill="FFFFFF"/>
          <w:lang w:eastAsia="zh-CN"/>
        </w:rPr>
        <w:t>两</w:t>
      </w:r>
      <w:r>
        <w:rPr>
          <w:rFonts w:hint="eastAsia" w:ascii="仿宋_GB2312" w:hAnsi="仿宋_GB2312" w:eastAsia="仿宋_GB2312" w:cs="仿宋_GB2312"/>
          <w:i w:val="0"/>
          <w:caps w:val="0"/>
          <w:color w:val="auto"/>
          <w:spacing w:val="0"/>
          <w:sz w:val="32"/>
          <w:szCs w:val="32"/>
          <w:u w:val="none"/>
          <w:shd w:val="clear" w:color="auto" w:fill="FFFFFF"/>
        </w:rPr>
        <w:t>个土地级别。</w:t>
      </w:r>
      <w:r>
        <w:rPr>
          <w:rFonts w:hint="eastAsia" w:ascii="仿宋_GB2312" w:hAnsi="仿宋_GB2312" w:eastAsia="仿宋_GB2312" w:cs="仿宋_GB2312"/>
          <w:color w:val="auto"/>
          <w:sz w:val="32"/>
          <w:szCs w:val="32"/>
        </w:rPr>
        <w:t>其中，Ⅰ级</w:t>
      </w:r>
      <w:r>
        <w:rPr>
          <w:rFonts w:hint="eastAsia" w:ascii="仿宋_GB2312" w:hAnsi="仿宋_GB2312" w:eastAsia="仿宋_GB2312" w:cs="仿宋_GB2312"/>
          <w:color w:val="auto"/>
          <w:sz w:val="32"/>
          <w:szCs w:val="32"/>
          <w:lang w:eastAsia="zh-CN"/>
        </w:rPr>
        <w:t>包括（</w:t>
      </w:r>
      <w:r>
        <w:rPr>
          <w:rFonts w:hint="eastAsia" w:ascii="仿宋_GB2312" w:hAnsi="仿宋_GB2312" w:eastAsia="仿宋_GB2312" w:cs="仿宋_GB2312"/>
          <w:color w:val="auto"/>
          <w:sz w:val="32"/>
          <w:szCs w:val="32"/>
        </w:rPr>
        <w:t>银州区：英城子村、前八里村、后八里村、牛岗子村、西辽海村、园艺村、柴河东村、柴河西村</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凡河新区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面积为</w:t>
      </w:r>
      <w:r>
        <w:rPr>
          <w:rFonts w:hint="eastAsia" w:ascii="仿宋_GB2312" w:hAnsi="仿宋_GB2312" w:eastAsia="仿宋_GB2312" w:cs="仿宋_GB2312"/>
          <w:color w:val="auto"/>
          <w:sz w:val="32"/>
          <w:szCs w:val="32"/>
          <w:lang w:val="en-US"/>
        </w:rPr>
        <w:t>1896.57</w:t>
      </w:r>
      <w:r>
        <w:rPr>
          <w:rFonts w:hint="eastAsia" w:ascii="仿宋_GB2312" w:hAnsi="仿宋_GB2312" w:eastAsia="仿宋_GB2312" w:cs="仿宋_GB2312"/>
          <w:color w:val="auto"/>
          <w:sz w:val="32"/>
          <w:szCs w:val="32"/>
        </w:rPr>
        <w:t>公顷，</w:t>
      </w:r>
      <w:r>
        <w:rPr>
          <w:rFonts w:hint="eastAsia" w:ascii="仿宋_GB2312" w:hAnsi="仿宋_GB2312" w:eastAsia="仿宋_GB2312" w:cs="仿宋_GB2312"/>
          <w:color w:val="auto"/>
          <w:sz w:val="32"/>
          <w:szCs w:val="32"/>
          <w:lang w:eastAsia="zh-CN"/>
        </w:rPr>
        <w:t>占比</w:t>
      </w:r>
      <w:r>
        <w:rPr>
          <w:rFonts w:hint="eastAsia" w:ascii="仿宋_GB2312" w:hAnsi="仿宋_GB2312" w:eastAsia="仿宋_GB2312" w:cs="仿宋_GB2312"/>
          <w:color w:val="auto"/>
          <w:sz w:val="32"/>
          <w:szCs w:val="32"/>
          <w:lang w:val="en-US"/>
        </w:rPr>
        <w:t>71.86%</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Ⅱ级</w:t>
      </w:r>
      <w:r>
        <w:rPr>
          <w:rFonts w:hint="eastAsia" w:ascii="仿宋_GB2312" w:hAnsi="仿宋_GB2312" w:eastAsia="仿宋_GB2312" w:cs="仿宋_GB2312"/>
          <w:color w:val="auto"/>
          <w:sz w:val="32"/>
          <w:szCs w:val="32"/>
          <w:lang w:eastAsia="zh-CN"/>
        </w:rPr>
        <w:t>包括（银州区：七里屯村、地运所村、东辽海村、腰辽海村），</w:t>
      </w:r>
      <w:r>
        <w:rPr>
          <w:rFonts w:hint="eastAsia" w:ascii="仿宋_GB2312" w:hAnsi="仿宋_GB2312" w:eastAsia="仿宋_GB2312" w:cs="仿宋_GB2312"/>
          <w:color w:val="auto"/>
          <w:sz w:val="32"/>
          <w:szCs w:val="32"/>
        </w:rPr>
        <w:t>面积为</w:t>
      </w:r>
      <w:r>
        <w:rPr>
          <w:rFonts w:hint="eastAsia" w:ascii="仿宋_GB2312" w:hAnsi="仿宋_GB2312" w:eastAsia="仿宋_GB2312" w:cs="仿宋_GB2312"/>
          <w:color w:val="auto"/>
          <w:sz w:val="32"/>
          <w:szCs w:val="32"/>
          <w:lang w:val="en-US"/>
        </w:rPr>
        <w:t>742.61</w:t>
      </w:r>
      <w:r>
        <w:rPr>
          <w:rFonts w:hint="eastAsia" w:ascii="仿宋_GB2312" w:hAnsi="仿宋_GB2312" w:eastAsia="仿宋_GB2312" w:cs="仿宋_GB2312"/>
          <w:color w:val="auto"/>
          <w:sz w:val="32"/>
          <w:szCs w:val="32"/>
        </w:rPr>
        <w:t>公顷</w:t>
      </w:r>
      <w:r>
        <w:rPr>
          <w:rFonts w:hint="eastAsia" w:ascii="仿宋_GB2312" w:hAnsi="仿宋_GB2312" w:eastAsia="仿宋_GB2312" w:cs="仿宋_GB2312"/>
          <w:color w:val="auto"/>
          <w:sz w:val="32"/>
          <w:szCs w:val="32"/>
          <w:lang w:eastAsia="zh-CN"/>
        </w:rPr>
        <w:t>，占比</w:t>
      </w:r>
      <w:r>
        <w:rPr>
          <w:rFonts w:hint="eastAsia" w:ascii="仿宋_GB2312" w:hAnsi="仿宋_GB2312" w:eastAsia="仿宋_GB2312" w:cs="仿宋_GB2312"/>
          <w:color w:val="auto"/>
          <w:sz w:val="32"/>
          <w:szCs w:val="32"/>
          <w:lang w:val="en-US"/>
        </w:rPr>
        <w:t>28.14%</w:t>
      </w:r>
      <w:r>
        <w:rPr>
          <w:rFonts w:hint="eastAsia" w:ascii="仿宋_GB2312" w:hAnsi="仿宋_GB2312" w:eastAsia="仿宋_GB2312" w:cs="仿宋_GB2312"/>
          <w:color w:val="auto"/>
          <w:sz w:val="32"/>
          <w:szCs w:val="32"/>
        </w:rPr>
        <w:t>。</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120" w:line="600" w:lineRule="exact"/>
        <w:ind w:leftChars="0" w:firstLine="640" w:firstLineChars="200"/>
        <w:jc w:val="left"/>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基准地价</w:t>
      </w:r>
    </w:p>
    <w:p>
      <w:pPr>
        <w:pStyle w:val="2"/>
        <w:numPr>
          <w:ilvl w:val="0"/>
          <w:numId w:val="0"/>
        </w:numPr>
        <w:rPr>
          <w:rFonts w:hint="eastAsia"/>
          <w:lang w:eastAsia="zh-CN"/>
        </w:rPr>
      </w:pPr>
      <w:r>
        <w:rPr>
          <w:rFonts w:hint="eastAsia" w:eastAsia="仿宋"/>
          <w:sz w:val="28"/>
          <w:szCs w:val="28"/>
          <w:lang w:eastAsia="zh-CN"/>
        </w:rPr>
        <w:drawing>
          <wp:inline distT="0" distB="0" distL="114300" distR="114300">
            <wp:extent cx="5960110" cy="2834005"/>
            <wp:effectExtent l="0" t="0" r="13970" b="635"/>
            <wp:docPr id="7" name="图片 5" descr="铁岭市集体农用地基准地价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descr="铁岭市集体农用地基准地价图"/>
                    <pic:cNvPicPr>
                      <a:picLocks noChangeAspect="1"/>
                    </pic:cNvPicPr>
                  </pic:nvPicPr>
                  <pic:blipFill>
                    <a:blip r:embed="rId6"/>
                    <a:stretch>
                      <a:fillRect/>
                    </a:stretch>
                  </pic:blipFill>
                  <pic:spPr>
                    <a:xfrm>
                      <a:off x="0" y="0"/>
                      <a:ext cx="5960110" cy="2834005"/>
                    </a:xfrm>
                    <a:prstGeom prst="rect">
                      <a:avLst/>
                    </a:prstGeom>
                    <a:noFill/>
                    <a:ln>
                      <a:noFill/>
                    </a:ln>
                  </pic:spPr>
                </pic:pic>
              </a:graphicData>
            </a:graphic>
          </wp:inline>
        </w:drawing>
      </w:r>
    </w:p>
    <w:p>
      <w:pPr>
        <w:keepNext w:val="0"/>
        <w:keepLines w:val="0"/>
        <w:pageBreakBefore w:val="0"/>
        <w:kinsoku/>
        <w:wordWrap/>
        <w:overflowPunct/>
        <w:topLinePunct w:val="0"/>
        <w:autoSpaceDE/>
        <w:autoSpaceDN/>
        <w:bidi w:val="0"/>
        <w:spacing w:line="600" w:lineRule="exact"/>
        <w:ind w:right="-122" w:rightChars="-58"/>
        <w:jc w:val="center"/>
        <w:outlineLvl w:val="9"/>
        <w:rPr>
          <w:rFonts w:hint="eastAsia" w:ascii="仿宋_GB2312" w:hAnsi="仿宋_GB2312" w:eastAsia="仿宋_GB2312" w:cs="仿宋_GB2312"/>
          <w:b w:val="0"/>
          <w:bCs w:val="0"/>
          <w:color w:val="auto"/>
          <w:sz w:val="32"/>
          <w:szCs w:val="32"/>
        </w:rPr>
      </w:pPr>
    </w:p>
    <w:p>
      <w:pPr>
        <w:keepNext w:val="0"/>
        <w:keepLines w:val="0"/>
        <w:pageBreakBefore w:val="0"/>
        <w:kinsoku/>
        <w:wordWrap/>
        <w:overflowPunct/>
        <w:topLinePunct w:val="0"/>
        <w:autoSpaceDE/>
        <w:autoSpaceDN/>
        <w:bidi w:val="0"/>
        <w:spacing w:line="600" w:lineRule="exact"/>
        <w:ind w:right="-122" w:rightChars="-58"/>
        <w:jc w:val="center"/>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铁岭市本级集体农用地基准地价表</w:t>
      </w:r>
    </w:p>
    <w:tbl>
      <w:tblPr>
        <w:tblStyle w:val="9"/>
        <w:tblW w:w="9198" w:type="dxa"/>
        <w:jc w:val="center"/>
        <w:tblBorders>
          <w:top w:val="thickThinMediumGap" w:color="auto" w:sz="12" w:space="0"/>
          <w:left w:val="thickThinMediumGap" w:color="auto" w:sz="12" w:space="0"/>
          <w:bottom w:val="thickThinMediumGap" w:color="auto" w:sz="12" w:space="0"/>
          <w:right w:val="thickThinMediumGap" w:color="auto" w:sz="12" w:space="0"/>
          <w:insideH w:val="none" w:color="auto" w:sz="0" w:space="0"/>
          <w:insideV w:val="none" w:color="auto" w:sz="0" w:space="0"/>
        </w:tblBorders>
        <w:tblLayout w:type="autofit"/>
        <w:tblCellMar>
          <w:top w:w="0" w:type="dxa"/>
          <w:left w:w="108" w:type="dxa"/>
          <w:bottom w:w="0" w:type="dxa"/>
          <w:right w:w="108" w:type="dxa"/>
        </w:tblCellMar>
      </w:tblPr>
      <w:tblGrid>
        <w:gridCol w:w="1116"/>
        <w:gridCol w:w="1028"/>
        <w:gridCol w:w="1040"/>
        <w:gridCol w:w="1030"/>
        <w:gridCol w:w="949"/>
        <w:gridCol w:w="1035"/>
        <w:gridCol w:w="1041"/>
        <w:gridCol w:w="1020"/>
        <w:gridCol w:w="939"/>
      </w:tblGrid>
      <w:tr>
        <w:tblPrEx>
          <w:tblBorders>
            <w:top w:val="thickThinMediumGap" w:color="auto" w:sz="12" w:space="0"/>
            <w:left w:val="thickThinMediumGap" w:color="auto" w:sz="12" w:space="0"/>
            <w:bottom w:val="thickThinMediumGap" w:color="auto" w:sz="12" w:space="0"/>
            <w:right w:val="thickThinMediumGap" w:color="auto" w:sz="12" w:space="0"/>
            <w:insideH w:val="none" w:color="auto" w:sz="0" w:space="0"/>
            <w:insideV w:val="none" w:color="auto" w:sz="0" w:space="0"/>
          </w:tblBorders>
          <w:tblCellMar>
            <w:top w:w="0" w:type="dxa"/>
            <w:left w:w="108" w:type="dxa"/>
            <w:bottom w:w="0" w:type="dxa"/>
            <w:right w:w="108" w:type="dxa"/>
          </w:tblCellMar>
        </w:tblPrEx>
        <w:trPr>
          <w:cantSplit/>
          <w:trHeight w:val="516" w:hRule="atLeast"/>
          <w:tblHeader/>
          <w:jc w:val="center"/>
        </w:trPr>
        <w:tc>
          <w:tcPr>
            <w:tcW w:w="1116" w:type="dxa"/>
            <w:vMerge w:val="restart"/>
            <w:tcBorders>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600" w:lineRule="exact"/>
              <w:jc w:val="center"/>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rPr>
              <mc:AlternateContent>
                <mc:Choice Requires="wps">
                  <w:drawing>
                    <wp:anchor distT="0" distB="0" distL="114300" distR="114300" simplePos="0" relativeHeight="251660288" behindDoc="0" locked="0" layoutInCell="1" allowOverlap="1">
                      <wp:simplePos x="0" y="0"/>
                      <wp:positionH relativeFrom="column">
                        <wp:posOffset>-48260</wp:posOffset>
                      </wp:positionH>
                      <wp:positionV relativeFrom="paragraph">
                        <wp:posOffset>635</wp:posOffset>
                      </wp:positionV>
                      <wp:extent cx="689610" cy="2683510"/>
                      <wp:effectExtent l="4445" t="1270" r="6985" b="12700"/>
                      <wp:wrapNone/>
                      <wp:docPr id="5" name="直接连接符 5"/>
                      <wp:cNvGraphicFramePr/>
                      <a:graphic xmlns:a="http://schemas.openxmlformats.org/drawingml/2006/main">
                        <a:graphicData uri="http://schemas.microsoft.com/office/word/2010/wordprocessingShape">
                          <wps:wsp>
                            <wps:cNvCnPr/>
                            <wps:spPr>
                              <a:xfrm>
                                <a:off x="0" y="0"/>
                                <a:ext cx="689610" cy="268351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8pt;margin-top:0.05pt;height:211.3pt;width:54.3pt;z-index:251660288;mso-width-relative:page;mso-height-relative:page;" filled="f" stroked="t" coordsize="21600,21600" o:gfxdata="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DG0kzdUAAAAHAQAADwAAAAAAAAABACAAAAAiAAAAZHJzL2Rvd25yZXYueG1sUEsB&#10;AhQAFAAAAAgAh07iQE5BW2r4AQAA6QMAAA4AAAAAAAAAAQAgAAAAJAEAAGRycy9lMm9Eb2MueG1s&#10;UEsFBgAAAAAGAAYAWQEAAI4FAAAAAA==&#10;">
                      <v:fill on="f" focussize="0,0"/>
                      <v:stroke color="#000000" joinstyle="round"/>
                      <v:imagedata o:title=""/>
                      <o:lock v:ext="edit" aspectratio="f"/>
                    </v:line>
                  </w:pict>
                </mc:Fallback>
              </mc:AlternateContent>
            </w:r>
            <w:r>
              <w:rPr>
                <w:rFonts w:hint="eastAsia" w:ascii="仿宋_GB2312" w:hAnsi="仿宋_GB2312" w:eastAsia="仿宋_GB2312" w:cs="仿宋_GB2312"/>
                <w:b w:val="0"/>
                <w:bCs w:val="0"/>
                <w:color w:val="auto"/>
                <w:sz w:val="32"/>
                <w:szCs w:val="32"/>
              </w:rPr>
              <mc:AlternateContent>
                <mc:Choice Requires="wps">
                  <w:drawing>
                    <wp:anchor distT="0" distB="0" distL="114300" distR="114300" simplePos="0" relativeHeight="251659264" behindDoc="0" locked="0" layoutInCell="1" allowOverlap="1">
                      <wp:simplePos x="0" y="0"/>
                      <wp:positionH relativeFrom="column">
                        <wp:posOffset>-64770</wp:posOffset>
                      </wp:positionH>
                      <wp:positionV relativeFrom="paragraph">
                        <wp:posOffset>-112395</wp:posOffset>
                      </wp:positionV>
                      <wp:extent cx="730250" cy="1524000"/>
                      <wp:effectExtent l="0" t="0" r="0" b="0"/>
                      <wp:wrapNone/>
                      <wp:docPr id="4" name="直接连接符 4"/>
                      <wp:cNvGraphicFramePr/>
                      <a:graphic xmlns:a="http://schemas.openxmlformats.org/drawingml/2006/main">
                        <a:graphicData uri="http://schemas.microsoft.com/office/word/2010/wordprocessingShape">
                          <wps:wsp>
                            <wps:cNvCnPr/>
                            <wps:spPr>
                              <a:xfrm>
                                <a:off x="0" y="0"/>
                                <a:ext cx="730250" cy="1524000"/>
                              </a:xfrm>
                              <a:prstGeom prst="line">
                                <a:avLst/>
                              </a:prstGeom>
                              <a:ln>
                                <a:noFill/>
                              </a:ln>
                            </wps:spPr>
                            <wps:bodyPr upright="1"/>
                          </wps:wsp>
                        </a:graphicData>
                      </a:graphic>
                    </wp:anchor>
                  </w:drawing>
                </mc:Choice>
                <mc:Fallback>
                  <w:pict>
                    <v:line id="_x0000_s1026" o:spid="_x0000_s1026" o:spt="20" style="position:absolute;left:0pt;margin-left:-5.1pt;margin-top:-8.85pt;height:120pt;width:57.5pt;z-index:251659264;mso-width-relative:page;mso-height-relative:page;" filled="f" stroked="f" coordsize="21600,21600" o:gfxdata="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OC+ThLZAAAACwEA&#10;AA8AAAAAAAAAAQAgAAAAIgAAAGRycy9kb3ducmV2LnhtbFBLAQIUABQAAAAIAIdO4kC/GqIqpwEA&#10;ADQDAAAOAAAAAAAAAAEAIAAAACgBAABkcnMvZTJvRG9jLnhtbFBLBQYAAAAABgAGAFkBAABBBQAA&#10;AAA=&#10;">
                      <v:fill on="f" focussize="0,0"/>
                      <v:stroke on="f"/>
                      <v:imagedata o:title=""/>
                      <o:lock v:ext="edit" aspectratio="f"/>
                    </v:line>
                  </w:pict>
                </mc:Fallback>
              </mc:AlternateContent>
            </w:r>
            <w:r>
              <w:rPr>
                <w:rFonts w:hint="eastAsia" w:ascii="仿宋_GB2312" w:hAnsi="仿宋_GB2312" w:eastAsia="仿宋_GB2312" w:cs="仿宋_GB2312"/>
                <w:b w:val="0"/>
                <w:bCs w:val="0"/>
                <w:color w:val="auto"/>
                <w:sz w:val="32"/>
                <w:szCs w:val="32"/>
                <w:lang w:val="en-US" w:eastAsia="zh-CN"/>
              </w:rPr>
              <w:t xml:space="preserve">  </w:t>
            </w:r>
          </w:p>
          <w:p>
            <w:pPr>
              <w:keepNext w:val="0"/>
              <w:keepLines w:val="0"/>
              <w:pageBreakBefore w:val="0"/>
              <w:widowControl/>
              <w:kinsoku/>
              <w:wordWrap/>
              <w:overflowPunct/>
              <w:topLinePunct w:val="0"/>
              <w:autoSpaceDE/>
              <w:autoSpaceDN/>
              <w:bidi w:val="0"/>
              <w:spacing w:line="600" w:lineRule="exact"/>
              <w:jc w:val="center"/>
              <w:outlineLvl w:val="9"/>
              <w:rPr>
                <w:rFonts w:hint="eastAsia" w:ascii="仿宋_GB2312" w:hAnsi="仿宋_GB2312" w:eastAsia="仿宋_GB2312" w:cs="仿宋_GB2312"/>
                <w:b w:val="0"/>
                <w:bCs w:val="0"/>
                <w:color w:val="auto"/>
                <w:sz w:val="32"/>
                <w:szCs w:val="32"/>
                <w:lang w:val="en-US"/>
              </w:rPr>
            </w:pP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级别</w:t>
            </w:r>
            <w:r>
              <w:rPr>
                <w:rFonts w:hint="eastAsia" w:ascii="仿宋_GB2312" w:hAnsi="仿宋_GB2312" w:eastAsia="仿宋_GB2312" w:cs="仿宋_GB2312"/>
                <w:b w:val="0"/>
                <w:bCs w:val="0"/>
                <w:color w:val="auto"/>
                <w:sz w:val="32"/>
                <w:szCs w:val="32"/>
                <w:lang w:val="en-US"/>
              </w:rPr>
              <w:t xml:space="preserve"> </w:t>
            </w:r>
          </w:p>
          <w:p>
            <w:pPr>
              <w:keepNext w:val="0"/>
              <w:keepLines w:val="0"/>
              <w:pageBreakBefore w:val="0"/>
              <w:widowControl/>
              <w:kinsoku/>
              <w:wordWrap/>
              <w:overflowPunct/>
              <w:topLinePunct w:val="0"/>
              <w:autoSpaceDE/>
              <w:autoSpaceDN/>
              <w:bidi w:val="0"/>
              <w:spacing w:line="600" w:lineRule="exact"/>
              <w:jc w:val="center"/>
              <w:outlineLvl w:val="9"/>
              <w:rPr>
                <w:rFonts w:hint="eastAsia" w:ascii="仿宋_GB2312" w:hAnsi="仿宋_GB2312" w:eastAsia="仿宋_GB2312" w:cs="仿宋_GB2312"/>
                <w:b w:val="0"/>
                <w:bCs w:val="0"/>
                <w:color w:val="auto"/>
                <w:sz w:val="32"/>
                <w:szCs w:val="32"/>
                <w:lang w:val="en-US"/>
              </w:rPr>
            </w:pPr>
          </w:p>
          <w:p>
            <w:pPr>
              <w:keepNext w:val="0"/>
              <w:keepLines w:val="0"/>
              <w:pageBreakBefore w:val="0"/>
              <w:widowControl/>
              <w:kinsoku/>
              <w:wordWrap/>
              <w:overflowPunct/>
              <w:topLinePunct w:val="0"/>
              <w:autoSpaceDE/>
              <w:autoSpaceDN/>
              <w:bidi w:val="0"/>
              <w:spacing w:line="600" w:lineRule="exact"/>
              <w:jc w:val="center"/>
              <w:outlineLvl w:val="9"/>
              <w:rPr>
                <w:rFonts w:hint="eastAsia" w:ascii="仿宋_GB2312" w:hAnsi="仿宋_GB2312" w:eastAsia="仿宋_GB2312" w:cs="仿宋_GB2312"/>
                <w:b w:val="0"/>
                <w:bCs w:val="0"/>
                <w:color w:val="auto"/>
                <w:sz w:val="32"/>
                <w:szCs w:val="32"/>
                <w:lang w:val="en-US"/>
              </w:rPr>
            </w:pPr>
            <w:r>
              <w:rPr>
                <w:rFonts w:hint="eastAsia" w:ascii="仿宋_GB2312" w:hAnsi="仿宋_GB2312" w:eastAsia="仿宋_GB2312" w:cs="仿宋_GB2312"/>
                <w:b w:val="0"/>
                <w:bCs w:val="0"/>
                <w:color w:val="auto"/>
                <w:sz w:val="32"/>
                <w:szCs w:val="32"/>
                <w:lang w:val="en-US"/>
              </w:rPr>
              <w:t xml:space="preserve">  </w:t>
            </w:r>
          </w:p>
          <w:p>
            <w:pPr>
              <w:keepNext w:val="0"/>
              <w:keepLines w:val="0"/>
              <w:pageBreakBefore w:val="0"/>
              <w:widowControl/>
              <w:kinsoku/>
              <w:wordWrap/>
              <w:overflowPunct/>
              <w:topLinePunct w:val="0"/>
              <w:autoSpaceDE/>
              <w:autoSpaceDN/>
              <w:bidi w:val="0"/>
              <w:spacing w:line="600" w:lineRule="exact"/>
              <w:jc w:val="center"/>
              <w:outlineLvl w:val="9"/>
              <w:rPr>
                <w:rFonts w:hint="eastAsia" w:ascii="仿宋_GB2312" w:hAnsi="仿宋_GB2312" w:eastAsia="仿宋_GB2312" w:cs="仿宋_GB2312"/>
                <w:b w:val="0"/>
                <w:bCs w:val="0"/>
                <w:color w:val="auto"/>
                <w:sz w:val="32"/>
                <w:szCs w:val="32"/>
                <w:lang w:val="en-US"/>
              </w:rPr>
            </w:pPr>
          </w:p>
          <w:p>
            <w:pPr>
              <w:keepNext w:val="0"/>
              <w:keepLines w:val="0"/>
              <w:pageBreakBefore w:val="0"/>
              <w:widowControl/>
              <w:kinsoku/>
              <w:wordWrap/>
              <w:overflowPunct/>
              <w:topLinePunct w:val="0"/>
              <w:autoSpaceDE/>
              <w:autoSpaceDN/>
              <w:bidi w:val="0"/>
              <w:spacing w:line="600" w:lineRule="exact"/>
              <w:jc w:val="center"/>
              <w:outlineLvl w:val="9"/>
              <w:rPr>
                <w:rFonts w:hint="eastAsia" w:ascii="仿宋_GB2312" w:hAnsi="仿宋_GB2312" w:eastAsia="仿宋_GB2312" w:cs="仿宋_GB2312"/>
                <w:b w:val="0"/>
                <w:bCs w:val="0"/>
                <w:color w:val="auto"/>
                <w:sz w:val="32"/>
                <w:szCs w:val="32"/>
                <w:lang w:val="en-US"/>
              </w:rPr>
            </w:pPr>
            <w:r>
              <w:rPr>
                <w:rFonts w:hint="eastAsia" w:ascii="仿宋_GB2312" w:hAnsi="仿宋_GB2312" w:eastAsia="仿宋_GB2312" w:cs="仿宋_GB2312"/>
                <w:b w:val="0"/>
                <w:bCs w:val="0"/>
                <w:color w:val="auto"/>
                <w:sz w:val="32"/>
                <w:szCs w:val="32"/>
                <w:lang w:val="en-US"/>
              </w:rPr>
              <w:t xml:space="preserve">  </w:t>
            </w:r>
          </w:p>
          <w:p>
            <w:pPr>
              <w:keepNext w:val="0"/>
              <w:keepLines w:val="0"/>
              <w:pageBreakBefore w:val="0"/>
              <w:kinsoku/>
              <w:wordWrap/>
              <w:overflowPunct/>
              <w:topLinePunct w:val="0"/>
              <w:autoSpaceDE/>
              <w:autoSpaceDN/>
              <w:bidi w:val="0"/>
              <w:snapToGrid w:val="0"/>
              <w:spacing w:line="600" w:lineRule="exact"/>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rPr>
              <w:t xml:space="preserve">用途              </w:t>
            </w:r>
          </w:p>
        </w:tc>
        <w:tc>
          <w:tcPr>
            <w:tcW w:w="4047" w:type="dxa"/>
            <w:gridSpan w:val="4"/>
            <w:tcBorders>
              <w:left w:val="single" w:color="auto" w:sz="4" w:space="0"/>
              <w:bottom w:val="single" w:color="auto" w:sz="4" w:space="0"/>
              <w:right w:val="single" w:color="auto" w:sz="4" w:space="0"/>
            </w:tcBorders>
            <w:noWrap w:val="0"/>
            <w:vAlign w:val="bottom"/>
          </w:tcPr>
          <w:p>
            <w:pPr>
              <w:keepNext w:val="0"/>
              <w:keepLines w:val="0"/>
              <w:pageBreakBefore w:val="0"/>
              <w:kinsoku/>
              <w:wordWrap/>
              <w:overflowPunct/>
              <w:topLinePunct w:val="0"/>
              <w:autoSpaceDE/>
              <w:autoSpaceDN/>
              <w:bidi w:val="0"/>
              <w:spacing w:line="600" w:lineRule="exact"/>
              <w:jc w:val="center"/>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一级</w:t>
            </w:r>
          </w:p>
        </w:tc>
        <w:tc>
          <w:tcPr>
            <w:tcW w:w="4035" w:type="dxa"/>
            <w:gridSpan w:val="4"/>
            <w:tcBorders>
              <w:left w:val="single" w:color="auto" w:sz="4" w:space="0"/>
              <w:bottom w:val="single" w:color="auto" w:sz="4" w:space="0"/>
            </w:tcBorders>
            <w:noWrap w:val="0"/>
            <w:vAlign w:val="bottom"/>
          </w:tcPr>
          <w:p>
            <w:pPr>
              <w:keepNext w:val="0"/>
              <w:keepLines w:val="0"/>
              <w:pageBreakBefore w:val="0"/>
              <w:kinsoku/>
              <w:wordWrap/>
              <w:overflowPunct/>
              <w:topLinePunct w:val="0"/>
              <w:autoSpaceDE/>
              <w:autoSpaceDN/>
              <w:bidi w:val="0"/>
              <w:spacing w:line="600" w:lineRule="exact"/>
              <w:jc w:val="center"/>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二级</w:t>
            </w:r>
          </w:p>
        </w:tc>
      </w:tr>
      <w:tr>
        <w:tblPrEx>
          <w:tblBorders>
            <w:top w:val="thickThinMediumGap" w:color="auto" w:sz="12" w:space="0"/>
            <w:left w:val="thickThinMediumGap" w:color="auto" w:sz="12" w:space="0"/>
            <w:bottom w:val="thickThinMediumGap" w:color="auto" w:sz="12" w:space="0"/>
            <w:right w:val="thickThinMediumGap" w:color="auto" w:sz="12" w:space="0"/>
            <w:insideH w:val="none" w:color="auto" w:sz="0" w:space="0"/>
            <w:insideV w:val="none" w:color="auto" w:sz="0" w:space="0"/>
          </w:tblBorders>
          <w:tblCellMar>
            <w:top w:w="0" w:type="dxa"/>
            <w:left w:w="108" w:type="dxa"/>
            <w:bottom w:w="0" w:type="dxa"/>
            <w:right w:w="108" w:type="dxa"/>
          </w:tblCellMar>
        </w:tblPrEx>
        <w:trPr>
          <w:cantSplit/>
          <w:trHeight w:val="467" w:hRule="atLeast"/>
          <w:tblHeader/>
          <w:jc w:val="center"/>
        </w:trPr>
        <w:tc>
          <w:tcPr>
            <w:tcW w:w="1116" w:type="dxa"/>
            <w:vMerge w:val="continue"/>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outlineLvl w:val="9"/>
              <w:rPr>
                <w:rFonts w:hint="eastAsia" w:ascii="仿宋_GB2312" w:hAnsi="仿宋_GB2312" w:eastAsia="仿宋_GB2312" w:cs="仿宋_GB2312"/>
                <w:b w:val="0"/>
                <w:bCs w:val="0"/>
                <w:color w:val="auto"/>
                <w:sz w:val="32"/>
                <w:szCs w:val="32"/>
              </w:rPr>
            </w:pPr>
          </w:p>
        </w:tc>
        <w:tc>
          <w:tcPr>
            <w:tcW w:w="2068" w:type="dxa"/>
            <w:gridSpan w:val="2"/>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overflowPunct/>
              <w:topLinePunct w:val="0"/>
              <w:autoSpaceDE/>
              <w:autoSpaceDN/>
              <w:bidi w:val="0"/>
              <w:spacing w:line="600" w:lineRule="exact"/>
              <w:jc w:val="center"/>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承包经营权</w:t>
            </w:r>
          </w:p>
        </w:tc>
        <w:tc>
          <w:tcPr>
            <w:tcW w:w="1979" w:type="dxa"/>
            <w:gridSpan w:val="2"/>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overflowPunct/>
              <w:topLinePunct w:val="0"/>
              <w:autoSpaceDE/>
              <w:autoSpaceDN/>
              <w:bidi w:val="0"/>
              <w:spacing w:line="600" w:lineRule="exact"/>
              <w:jc w:val="center"/>
              <w:outlineLvl w:val="9"/>
              <w:rPr>
                <w:rFonts w:hint="eastAsia" w:ascii="仿宋_GB2312" w:hAnsi="仿宋_GB2312" w:eastAsia="仿宋_GB2312" w:cs="仿宋_GB2312"/>
                <w:b w:val="0"/>
                <w:bCs w:val="0"/>
                <w:color w:val="auto"/>
                <w:kern w:val="2"/>
                <w:sz w:val="32"/>
                <w:szCs w:val="32"/>
              </w:rPr>
            </w:pPr>
            <w:r>
              <w:rPr>
                <w:rFonts w:hint="eastAsia" w:ascii="仿宋_GB2312" w:hAnsi="仿宋_GB2312" w:eastAsia="仿宋_GB2312" w:cs="仿宋_GB2312"/>
                <w:b w:val="0"/>
                <w:bCs w:val="0"/>
                <w:color w:val="auto"/>
                <w:sz w:val="32"/>
                <w:szCs w:val="32"/>
              </w:rPr>
              <w:t>经营权</w:t>
            </w:r>
          </w:p>
        </w:tc>
        <w:tc>
          <w:tcPr>
            <w:tcW w:w="2076" w:type="dxa"/>
            <w:gridSpan w:val="2"/>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overflowPunct/>
              <w:topLinePunct w:val="0"/>
              <w:autoSpaceDE/>
              <w:autoSpaceDN/>
              <w:bidi w:val="0"/>
              <w:spacing w:line="600" w:lineRule="exact"/>
              <w:jc w:val="center"/>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承包经营权</w:t>
            </w:r>
          </w:p>
        </w:tc>
        <w:tc>
          <w:tcPr>
            <w:tcW w:w="1959" w:type="dxa"/>
            <w:gridSpan w:val="2"/>
            <w:tcBorders>
              <w:top w:val="single" w:color="auto" w:sz="4" w:space="0"/>
              <w:left w:val="single" w:color="auto" w:sz="4" w:space="0"/>
              <w:bottom w:val="single" w:color="auto" w:sz="4" w:space="0"/>
            </w:tcBorders>
            <w:noWrap w:val="0"/>
            <w:vAlign w:val="bottom"/>
          </w:tcPr>
          <w:p>
            <w:pPr>
              <w:keepNext w:val="0"/>
              <w:keepLines w:val="0"/>
              <w:pageBreakBefore w:val="0"/>
              <w:kinsoku/>
              <w:wordWrap/>
              <w:overflowPunct/>
              <w:topLinePunct w:val="0"/>
              <w:autoSpaceDE/>
              <w:autoSpaceDN/>
              <w:bidi w:val="0"/>
              <w:spacing w:line="600" w:lineRule="exact"/>
              <w:jc w:val="center"/>
              <w:outlineLvl w:val="9"/>
              <w:rPr>
                <w:rFonts w:hint="eastAsia" w:ascii="仿宋_GB2312" w:hAnsi="仿宋_GB2312" w:eastAsia="仿宋_GB2312" w:cs="仿宋_GB2312"/>
                <w:b w:val="0"/>
                <w:bCs w:val="0"/>
                <w:color w:val="auto"/>
                <w:kern w:val="2"/>
                <w:sz w:val="32"/>
                <w:szCs w:val="32"/>
              </w:rPr>
            </w:pPr>
            <w:r>
              <w:rPr>
                <w:rFonts w:hint="eastAsia" w:ascii="仿宋_GB2312" w:hAnsi="仿宋_GB2312" w:eastAsia="仿宋_GB2312" w:cs="仿宋_GB2312"/>
                <w:b w:val="0"/>
                <w:bCs w:val="0"/>
                <w:color w:val="auto"/>
                <w:sz w:val="32"/>
                <w:szCs w:val="32"/>
              </w:rPr>
              <w:t>经营权</w:t>
            </w:r>
          </w:p>
        </w:tc>
      </w:tr>
      <w:tr>
        <w:tblPrEx>
          <w:tblBorders>
            <w:top w:val="thickThinMediumGap" w:color="auto" w:sz="12" w:space="0"/>
            <w:left w:val="thickThinMediumGap" w:color="auto" w:sz="12" w:space="0"/>
            <w:bottom w:val="thickThinMediumGap" w:color="auto" w:sz="12" w:space="0"/>
            <w:right w:val="thickThinMediumGap" w:color="auto" w:sz="12" w:space="0"/>
            <w:insideH w:val="none" w:color="auto" w:sz="0" w:space="0"/>
            <w:insideV w:val="none" w:color="auto" w:sz="0" w:space="0"/>
          </w:tblBorders>
          <w:tblCellMar>
            <w:top w:w="0" w:type="dxa"/>
            <w:left w:w="108" w:type="dxa"/>
            <w:bottom w:w="0" w:type="dxa"/>
            <w:right w:w="108" w:type="dxa"/>
          </w:tblCellMar>
        </w:tblPrEx>
        <w:trPr>
          <w:cantSplit/>
          <w:trHeight w:val="1359" w:hRule="atLeast"/>
          <w:tblHeader/>
          <w:jc w:val="center"/>
        </w:trPr>
        <w:tc>
          <w:tcPr>
            <w:tcW w:w="1116" w:type="dxa"/>
            <w:vMerge w:val="continue"/>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jc w:val="center"/>
              <w:outlineLvl w:val="9"/>
              <w:rPr>
                <w:rFonts w:hint="eastAsia" w:ascii="仿宋_GB2312" w:hAnsi="仿宋_GB2312" w:eastAsia="仿宋_GB2312" w:cs="仿宋_GB2312"/>
                <w:b w:val="0"/>
                <w:bCs w:val="0"/>
                <w:color w:val="auto"/>
                <w:sz w:val="32"/>
                <w:szCs w:val="32"/>
              </w:rPr>
            </w:pPr>
          </w:p>
        </w:tc>
        <w:tc>
          <w:tcPr>
            <w:tcW w:w="10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jc w:val="center"/>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（元/平方米）</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jc w:val="center"/>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（万元/亩）</w:t>
            </w:r>
          </w:p>
        </w:tc>
        <w:tc>
          <w:tcPr>
            <w:tcW w:w="10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jc w:val="center"/>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（元/平方米）</w:t>
            </w:r>
          </w:p>
        </w:tc>
        <w:tc>
          <w:tcPr>
            <w:tcW w:w="9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jc w:val="center"/>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kern w:val="2"/>
                <w:sz w:val="32"/>
                <w:szCs w:val="32"/>
              </w:rPr>
              <w:t>(元/ 亩</w:t>
            </w:r>
            <w:r>
              <w:rPr>
                <w:rFonts w:hint="eastAsia" w:ascii="仿宋_GB2312" w:hAnsi="仿宋_GB2312" w:eastAsia="仿宋_GB2312" w:cs="仿宋_GB2312"/>
                <w:b w:val="0"/>
                <w:bCs w:val="0"/>
                <w:color w:val="auto"/>
                <w:kern w:val="2"/>
                <w:sz w:val="32"/>
                <w:szCs w:val="32"/>
                <w:lang w:val="en-US"/>
              </w:rPr>
              <w:t>/年</w:t>
            </w:r>
            <w:r>
              <w:rPr>
                <w:rFonts w:hint="eastAsia" w:ascii="仿宋_GB2312" w:hAnsi="仿宋_GB2312" w:eastAsia="仿宋_GB2312" w:cs="仿宋_GB2312"/>
                <w:b w:val="0"/>
                <w:bCs w:val="0"/>
                <w:color w:val="auto"/>
                <w:kern w:val="2"/>
                <w:sz w:val="32"/>
                <w:szCs w:val="32"/>
              </w:rPr>
              <w:t>)</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jc w:val="center"/>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（元/平方米）</w:t>
            </w:r>
          </w:p>
        </w:tc>
        <w:tc>
          <w:tcPr>
            <w:tcW w:w="10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jc w:val="center"/>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（万元/亩）</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jc w:val="center"/>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（元/平方米）</w:t>
            </w:r>
          </w:p>
        </w:tc>
        <w:tc>
          <w:tcPr>
            <w:tcW w:w="939" w:type="dxa"/>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spacing w:line="600" w:lineRule="exact"/>
              <w:jc w:val="center"/>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kern w:val="2"/>
                <w:sz w:val="32"/>
                <w:szCs w:val="32"/>
              </w:rPr>
              <w:t>(元/ 亩</w:t>
            </w:r>
            <w:r>
              <w:rPr>
                <w:rFonts w:hint="eastAsia" w:ascii="仿宋_GB2312" w:hAnsi="仿宋_GB2312" w:eastAsia="仿宋_GB2312" w:cs="仿宋_GB2312"/>
                <w:b w:val="0"/>
                <w:bCs w:val="0"/>
                <w:color w:val="auto"/>
                <w:kern w:val="2"/>
                <w:sz w:val="32"/>
                <w:szCs w:val="32"/>
                <w:lang w:val="en-US"/>
              </w:rPr>
              <w:t>/年</w:t>
            </w:r>
            <w:r>
              <w:rPr>
                <w:rFonts w:hint="eastAsia" w:ascii="仿宋_GB2312" w:hAnsi="仿宋_GB2312" w:eastAsia="仿宋_GB2312" w:cs="仿宋_GB2312"/>
                <w:b w:val="0"/>
                <w:bCs w:val="0"/>
                <w:color w:val="auto"/>
                <w:kern w:val="2"/>
                <w:sz w:val="32"/>
                <w:szCs w:val="32"/>
              </w:rPr>
              <w:t>)</w:t>
            </w:r>
          </w:p>
        </w:tc>
      </w:tr>
      <w:tr>
        <w:tblPrEx>
          <w:tblBorders>
            <w:top w:val="thickThinMediumGap" w:color="auto" w:sz="12" w:space="0"/>
            <w:left w:val="thickThinMediumGap" w:color="auto" w:sz="12" w:space="0"/>
            <w:bottom w:val="thickThinMediumGap" w:color="auto" w:sz="12" w:space="0"/>
            <w:right w:val="thickThinMediumGap" w:color="auto" w:sz="12" w:space="0"/>
            <w:insideH w:val="none" w:color="auto" w:sz="0" w:space="0"/>
            <w:insideV w:val="none" w:color="auto" w:sz="0" w:space="0"/>
          </w:tblBorders>
          <w:tblCellMar>
            <w:top w:w="0" w:type="dxa"/>
            <w:left w:w="108" w:type="dxa"/>
            <w:bottom w:w="0" w:type="dxa"/>
            <w:right w:w="108" w:type="dxa"/>
          </w:tblCellMar>
        </w:tblPrEx>
        <w:trPr>
          <w:cantSplit/>
          <w:trHeight w:val="467" w:hRule="atLeast"/>
          <w:jc w:val="center"/>
        </w:trPr>
        <w:tc>
          <w:tcPr>
            <w:tcW w:w="1116"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jc w:val="center"/>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水浇地</w:t>
            </w:r>
          </w:p>
        </w:tc>
        <w:tc>
          <w:tcPr>
            <w:tcW w:w="10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600" w:lineRule="exact"/>
              <w:jc w:val="center"/>
              <w:textAlignment w:val="center"/>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bidi="ar"/>
              </w:rPr>
              <w:t>37.5</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600" w:lineRule="exact"/>
              <w:jc w:val="center"/>
              <w:textAlignment w:val="center"/>
              <w:outlineLvl w:val="9"/>
              <w:rPr>
                <w:rFonts w:hint="eastAsia" w:ascii="仿宋_GB2312" w:hAnsi="仿宋_GB2312" w:eastAsia="仿宋_GB2312" w:cs="仿宋_GB2312"/>
                <w:b w:val="0"/>
                <w:bCs w:val="0"/>
                <w:color w:val="auto"/>
                <w:kern w:val="2"/>
                <w:sz w:val="32"/>
                <w:szCs w:val="32"/>
                <w:lang w:val="en-US"/>
              </w:rPr>
            </w:pPr>
            <w:r>
              <w:rPr>
                <w:rFonts w:hint="eastAsia" w:ascii="仿宋_GB2312" w:hAnsi="仿宋_GB2312" w:eastAsia="仿宋_GB2312" w:cs="仿宋_GB2312"/>
                <w:b w:val="0"/>
                <w:bCs w:val="0"/>
                <w:color w:val="auto"/>
                <w:sz w:val="32"/>
                <w:szCs w:val="32"/>
                <w:lang w:val="en-US" w:bidi="ar"/>
              </w:rPr>
              <w:t>2.50</w:t>
            </w:r>
          </w:p>
        </w:tc>
        <w:tc>
          <w:tcPr>
            <w:tcW w:w="10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600" w:lineRule="exact"/>
              <w:jc w:val="center"/>
              <w:textAlignment w:val="center"/>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bidi="ar"/>
              </w:rPr>
              <w:t>23.7</w:t>
            </w:r>
          </w:p>
        </w:tc>
        <w:tc>
          <w:tcPr>
            <w:tcW w:w="9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600" w:lineRule="exact"/>
              <w:jc w:val="center"/>
              <w:textAlignment w:val="center"/>
              <w:outlineLvl w:val="9"/>
              <w:rPr>
                <w:rFonts w:hint="eastAsia" w:ascii="仿宋_GB2312" w:hAnsi="仿宋_GB2312" w:eastAsia="仿宋_GB2312" w:cs="仿宋_GB2312"/>
                <w:b w:val="0"/>
                <w:bCs w:val="0"/>
                <w:color w:val="auto"/>
                <w:sz w:val="32"/>
                <w:szCs w:val="32"/>
                <w:lang w:val="en-US" w:eastAsia="zh-CN" w:bidi="zh-CN"/>
              </w:rPr>
            </w:pPr>
            <w:r>
              <w:rPr>
                <w:rFonts w:hint="eastAsia" w:ascii="仿宋_GB2312" w:hAnsi="仿宋_GB2312" w:eastAsia="仿宋_GB2312" w:cs="仿宋_GB2312"/>
                <w:b w:val="0"/>
                <w:bCs w:val="0"/>
                <w:color w:val="auto"/>
                <w:sz w:val="32"/>
                <w:szCs w:val="32"/>
                <w:lang w:val="en-US" w:bidi="ar"/>
              </w:rPr>
              <w:t>832</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600" w:lineRule="exact"/>
              <w:jc w:val="center"/>
              <w:textAlignment w:val="center"/>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bidi="ar"/>
              </w:rPr>
              <w:t>32</w:t>
            </w:r>
            <w:r>
              <w:rPr>
                <w:rFonts w:hint="eastAsia" w:ascii="仿宋_GB2312" w:hAnsi="仿宋_GB2312" w:eastAsia="仿宋_GB2312" w:cs="仿宋_GB2312"/>
                <w:b w:val="0"/>
                <w:bCs w:val="0"/>
                <w:color w:val="auto"/>
                <w:sz w:val="32"/>
                <w:szCs w:val="32"/>
                <w:lang w:val="en-US" w:eastAsia="zh-CN" w:bidi="ar"/>
              </w:rPr>
              <w:t>.0</w:t>
            </w:r>
          </w:p>
        </w:tc>
        <w:tc>
          <w:tcPr>
            <w:tcW w:w="10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600" w:lineRule="exact"/>
              <w:jc w:val="center"/>
              <w:textAlignment w:val="center"/>
              <w:outlineLvl w:val="9"/>
              <w:rPr>
                <w:rFonts w:hint="eastAsia" w:ascii="仿宋_GB2312" w:hAnsi="仿宋_GB2312" w:eastAsia="仿宋_GB2312" w:cs="仿宋_GB2312"/>
                <w:b w:val="0"/>
                <w:bCs w:val="0"/>
                <w:color w:val="auto"/>
                <w:kern w:val="2"/>
                <w:sz w:val="32"/>
                <w:szCs w:val="32"/>
                <w:lang w:val="en-US"/>
              </w:rPr>
            </w:pPr>
            <w:r>
              <w:rPr>
                <w:rFonts w:hint="eastAsia" w:ascii="仿宋_GB2312" w:hAnsi="仿宋_GB2312" w:eastAsia="仿宋_GB2312" w:cs="仿宋_GB2312"/>
                <w:b w:val="0"/>
                <w:bCs w:val="0"/>
                <w:color w:val="auto"/>
                <w:sz w:val="32"/>
                <w:szCs w:val="32"/>
                <w:lang w:val="en-US" w:bidi="ar"/>
              </w:rPr>
              <w:t>2.13</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600" w:lineRule="exact"/>
              <w:jc w:val="center"/>
              <w:textAlignment w:val="center"/>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bidi="ar"/>
              </w:rPr>
              <w:t>21.2</w:t>
            </w:r>
          </w:p>
        </w:tc>
        <w:tc>
          <w:tcPr>
            <w:tcW w:w="939" w:type="dxa"/>
            <w:tcBorders>
              <w:top w:val="single" w:color="auto" w:sz="4" w:space="0"/>
              <w:left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spacing w:line="600" w:lineRule="exact"/>
              <w:jc w:val="center"/>
              <w:textAlignment w:val="center"/>
              <w:outlineLvl w:val="9"/>
              <w:rPr>
                <w:rFonts w:hint="eastAsia" w:ascii="仿宋_GB2312" w:hAnsi="仿宋_GB2312" w:eastAsia="仿宋_GB2312" w:cs="仿宋_GB2312"/>
                <w:b w:val="0"/>
                <w:bCs w:val="0"/>
                <w:color w:val="auto"/>
                <w:sz w:val="32"/>
                <w:szCs w:val="32"/>
                <w:lang w:val="en-US" w:eastAsia="zh-CN" w:bidi="zh-CN"/>
              </w:rPr>
            </w:pPr>
            <w:r>
              <w:rPr>
                <w:rFonts w:hint="eastAsia" w:ascii="仿宋_GB2312" w:hAnsi="仿宋_GB2312" w:eastAsia="仿宋_GB2312" w:cs="仿宋_GB2312"/>
                <w:b w:val="0"/>
                <w:bCs w:val="0"/>
                <w:color w:val="auto"/>
                <w:sz w:val="32"/>
                <w:szCs w:val="32"/>
                <w:lang w:val="en-US" w:bidi="ar"/>
              </w:rPr>
              <w:t>746</w:t>
            </w:r>
          </w:p>
        </w:tc>
      </w:tr>
      <w:tr>
        <w:tblPrEx>
          <w:tblBorders>
            <w:top w:val="thickThinMediumGap" w:color="auto" w:sz="12" w:space="0"/>
            <w:left w:val="thickThinMediumGap" w:color="auto" w:sz="12" w:space="0"/>
            <w:bottom w:val="thickThinMediumGap" w:color="auto" w:sz="12" w:space="0"/>
            <w:right w:val="thickThinMediumGap" w:color="auto" w:sz="12" w:space="0"/>
            <w:insideH w:val="none" w:color="auto" w:sz="0" w:space="0"/>
            <w:insideV w:val="none" w:color="auto" w:sz="0" w:space="0"/>
          </w:tblBorders>
          <w:tblCellMar>
            <w:top w:w="0" w:type="dxa"/>
            <w:left w:w="108" w:type="dxa"/>
            <w:bottom w:w="0" w:type="dxa"/>
            <w:right w:w="108" w:type="dxa"/>
          </w:tblCellMar>
        </w:tblPrEx>
        <w:trPr>
          <w:cantSplit/>
          <w:trHeight w:val="467" w:hRule="atLeast"/>
          <w:jc w:val="center"/>
        </w:trPr>
        <w:tc>
          <w:tcPr>
            <w:tcW w:w="1116"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jc w:val="center"/>
              <w:outlineLvl w:val="9"/>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水</w:t>
            </w:r>
            <w:r>
              <w:rPr>
                <w:rFonts w:hint="eastAsia" w:ascii="仿宋_GB2312" w:hAnsi="仿宋_GB2312" w:eastAsia="仿宋_GB2312" w:cs="仿宋_GB2312"/>
                <w:b w:val="0"/>
                <w:bCs w:val="0"/>
                <w:color w:val="auto"/>
                <w:sz w:val="32"/>
                <w:szCs w:val="32"/>
                <w:lang w:eastAsia="zh-CN"/>
              </w:rPr>
              <w:t>田</w:t>
            </w:r>
          </w:p>
        </w:tc>
        <w:tc>
          <w:tcPr>
            <w:tcW w:w="10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600" w:lineRule="exact"/>
              <w:jc w:val="center"/>
              <w:textAlignment w:val="center"/>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bidi="ar"/>
              </w:rPr>
              <w:t>35.</w:t>
            </w:r>
            <w:r>
              <w:rPr>
                <w:rFonts w:hint="eastAsia" w:ascii="仿宋_GB2312" w:hAnsi="仿宋_GB2312" w:eastAsia="仿宋_GB2312" w:cs="仿宋_GB2312"/>
                <w:b w:val="0"/>
                <w:bCs w:val="0"/>
                <w:color w:val="auto"/>
                <w:sz w:val="32"/>
                <w:szCs w:val="32"/>
                <w:lang w:val="en-US" w:eastAsia="zh-CN" w:bidi="ar"/>
              </w:rPr>
              <w:t>3</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600" w:lineRule="exact"/>
              <w:jc w:val="center"/>
              <w:textAlignment w:val="center"/>
              <w:outlineLvl w:val="9"/>
              <w:rPr>
                <w:rFonts w:hint="eastAsia" w:ascii="仿宋_GB2312" w:hAnsi="仿宋_GB2312" w:eastAsia="仿宋_GB2312" w:cs="仿宋_GB2312"/>
                <w:b w:val="0"/>
                <w:bCs w:val="0"/>
                <w:color w:val="auto"/>
                <w:kern w:val="2"/>
                <w:sz w:val="32"/>
                <w:szCs w:val="32"/>
                <w:lang w:val="en-US"/>
              </w:rPr>
            </w:pPr>
            <w:r>
              <w:rPr>
                <w:rFonts w:hint="eastAsia" w:ascii="仿宋_GB2312" w:hAnsi="仿宋_GB2312" w:eastAsia="仿宋_GB2312" w:cs="仿宋_GB2312"/>
                <w:b w:val="0"/>
                <w:bCs w:val="0"/>
                <w:color w:val="auto"/>
                <w:sz w:val="32"/>
                <w:szCs w:val="32"/>
                <w:lang w:val="en-US" w:bidi="ar"/>
              </w:rPr>
              <w:t>2.35</w:t>
            </w:r>
          </w:p>
        </w:tc>
        <w:tc>
          <w:tcPr>
            <w:tcW w:w="10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600" w:lineRule="exact"/>
              <w:jc w:val="center"/>
              <w:textAlignment w:val="center"/>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bidi="ar"/>
              </w:rPr>
              <w:t>22.6</w:t>
            </w:r>
          </w:p>
        </w:tc>
        <w:tc>
          <w:tcPr>
            <w:tcW w:w="9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600" w:lineRule="exact"/>
              <w:jc w:val="center"/>
              <w:textAlignment w:val="center"/>
              <w:outlineLvl w:val="9"/>
              <w:rPr>
                <w:rFonts w:hint="eastAsia" w:ascii="仿宋_GB2312" w:hAnsi="仿宋_GB2312" w:eastAsia="仿宋_GB2312" w:cs="仿宋_GB2312"/>
                <w:b w:val="0"/>
                <w:bCs w:val="0"/>
                <w:color w:val="auto"/>
                <w:sz w:val="32"/>
                <w:szCs w:val="32"/>
                <w:lang w:val="en-US" w:eastAsia="zh-CN" w:bidi="zh-CN"/>
              </w:rPr>
            </w:pPr>
            <w:r>
              <w:rPr>
                <w:rFonts w:hint="eastAsia" w:ascii="仿宋_GB2312" w:hAnsi="仿宋_GB2312" w:eastAsia="仿宋_GB2312" w:cs="仿宋_GB2312"/>
                <w:b w:val="0"/>
                <w:bCs w:val="0"/>
                <w:color w:val="auto"/>
                <w:sz w:val="32"/>
                <w:szCs w:val="32"/>
                <w:lang w:val="en-US" w:bidi="ar"/>
              </w:rPr>
              <w:t>795</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600" w:lineRule="exact"/>
              <w:jc w:val="center"/>
              <w:textAlignment w:val="center"/>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bidi="ar"/>
              </w:rPr>
              <w:t>30</w:t>
            </w:r>
            <w:r>
              <w:rPr>
                <w:rFonts w:hint="eastAsia" w:ascii="仿宋_GB2312" w:hAnsi="仿宋_GB2312" w:eastAsia="仿宋_GB2312" w:cs="仿宋_GB2312"/>
                <w:b w:val="0"/>
                <w:bCs w:val="0"/>
                <w:color w:val="auto"/>
                <w:sz w:val="32"/>
                <w:szCs w:val="32"/>
                <w:lang w:val="en-US" w:eastAsia="zh-CN" w:bidi="ar"/>
              </w:rPr>
              <w:t>.0</w:t>
            </w:r>
          </w:p>
        </w:tc>
        <w:tc>
          <w:tcPr>
            <w:tcW w:w="10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600" w:lineRule="exact"/>
              <w:jc w:val="center"/>
              <w:textAlignment w:val="center"/>
              <w:outlineLvl w:val="9"/>
              <w:rPr>
                <w:rFonts w:hint="eastAsia" w:ascii="仿宋_GB2312" w:hAnsi="仿宋_GB2312" w:eastAsia="仿宋_GB2312" w:cs="仿宋_GB2312"/>
                <w:b w:val="0"/>
                <w:bCs w:val="0"/>
                <w:color w:val="auto"/>
                <w:sz w:val="32"/>
                <w:szCs w:val="32"/>
                <w:lang w:val="en-US" w:bidi="ar"/>
              </w:rPr>
            </w:pPr>
            <w:r>
              <w:rPr>
                <w:rFonts w:hint="eastAsia" w:ascii="仿宋_GB2312" w:hAnsi="仿宋_GB2312" w:eastAsia="仿宋_GB2312" w:cs="仿宋_GB2312"/>
                <w:b w:val="0"/>
                <w:bCs w:val="0"/>
                <w:color w:val="auto"/>
                <w:sz w:val="32"/>
                <w:szCs w:val="32"/>
                <w:lang w:val="en-US" w:bidi="ar"/>
              </w:rPr>
              <w:t>2.00</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600" w:lineRule="exact"/>
              <w:jc w:val="center"/>
              <w:textAlignment w:val="center"/>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bidi="ar"/>
              </w:rPr>
              <w:t>19.9</w:t>
            </w:r>
          </w:p>
        </w:tc>
        <w:tc>
          <w:tcPr>
            <w:tcW w:w="939" w:type="dxa"/>
            <w:tcBorders>
              <w:top w:val="single" w:color="auto" w:sz="4" w:space="0"/>
              <w:left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spacing w:line="600" w:lineRule="exact"/>
              <w:jc w:val="center"/>
              <w:textAlignment w:val="center"/>
              <w:outlineLvl w:val="9"/>
              <w:rPr>
                <w:rFonts w:hint="eastAsia" w:ascii="仿宋_GB2312" w:hAnsi="仿宋_GB2312" w:eastAsia="仿宋_GB2312" w:cs="仿宋_GB2312"/>
                <w:b w:val="0"/>
                <w:bCs w:val="0"/>
                <w:color w:val="auto"/>
                <w:sz w:val="32"/>
                <w:szCs w:val="32"/>
                <w:lang w:val="en-US" w:eastAsia="zh-CN" w:bidi="zh-CN"/>
              </w:rPr>
            </w:pPr>
            <w:r>
              <w:rPr>
                <w:rFonts w:hint="eastAsia" w:ascii="仿宋_GB2312" w:hAnsi="仿宋_GB2312" w:eastAsia="仿宋_GB2312" w:cs="仿宋_GB2312"/>
                <w:b w:val="0"/>
                <w:bCs w:val="0"/>
                <w:color w:val="auto"/>
                <w:sz w:val="32"/>
                <w:szCs w:val="32"/>
                <w:lang w:val="en-US" w:bidi="ar"/>
              </w:rPr>
              <w:t>698</w:t>
            </w:r>
          </w:p>
        </w:tc>
      </w:tr>
      <w:tr>
        <w:tblPrEx>
          <w:tblBorders>
            <w:top w:val="thickThinMediumGap" w:color="auto" w:sz="12" w:space="0"/>
            <w:left w:val="thickThinMediumGap" w:color="auto" w:sz="12" w:space="0"/>
            <w:bottom w:val="thickThinMediumGap" w:color="auto" w:sz="12" w:space="0"/>
            <w:right w:val="thickThinMediumGap" w:color="auto" w:sz="12" w:space="0"/>
            <w:insideH w:val="none" w:color="auto" w:sz="0" w:space="0"/>
            <w:insideV w:val="none" w:color="auto" w:sz="0" w:space="0"/>
          </w:tblBorders>
          <w:tblCellMar>
            <w:top w:w="0" w:type="dxa"/>
            <w:left w:w="108" w:type="dxa"/>
            <w:bottom w:w="0" w:type="dxa"/>
            <w:right w:w="108" w:type="dxa"/>
          </w:tblCellMar>
        </w:tblPrEx>
        <w:trPr>
          <w:cantSplit/>
          <w:trHeight w:val="467" w:hRule="atLeast"/>
          <w:jc w:val="center"/>
        </w:trPr>
        <w:tc>
          <w:tcPr>
            <w:tcW w:w="1116"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jc w:val="center"/>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旱地</w:t>
            </w:r>
          </w:p>
        </w:tc>
        <w:tc>
          <w:tcPr>
            <w:tcW w:w="10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600" w:lineRule="exact"/>
              <w:jc w:val="center"/>
              <w:textAlignment w:val="center"/>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bidi="ar"/>
              </w:rPr>
              <w:t>24</w:t>
            </w:r>
            <w:r>
              <w:rPr>
                <w:rFonts w:hint="eastAsia" w:ascii="仿宋_GB2312" w:hAnsi="仿宋_GB2312" w:eastAsia="仿宋_GB2312" w:cs="仿宋_GB2312"/>
                <w:b w:val="0"/>
                <w:bCs w:val="0"/>
                <w:color w:val="auto"/>
                <w:sz w:val="32"/>
                <w:szCs w:val="32"/>
                <w:lang w:val="en-US" w:eastAsia="zh-CN" w:bidi="ar"/>
              </w:rPr>
              <w:t>.0</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600" w:lineRule="exact"/>
              <w:jc w:val="center"/>
              <w:textAlignment w:val="center"/>
              <w:outlineLvl w:val="9"/>
              <w:rPr>
                <w:rFonts w:hint="eastAsia" w:ascii="仿宋_GB2312" w:hAnsi="仿宋_GB2312" w:eastAsia="仿宋_GB2312" w:cs="仿宋_GB2312"/>
                <w:b w:val="0"/>
                <w:bCs w:val="0"/>
                <w:color w:val="auto"/>
                <w:sz w:val="32"/>
                <w:szCs w:val="32"/>
                <w:lang w:val="en-US" w:bidi="ar"/>
              </w:rPr>
            </w:pPr>
            <w:r>
              <w:rPr>
                <w:rFonts w:hint="eastAsia" w:ascii="仿宋_GB2312" w:hAnsi="仿宋_GB2312" w:eastAsia="仿宋_GB2312" w:cs="仿宋_GB2312"/>
                <w:b w:val="0"/>
                <w:bCs w:val="0"/>
                <w:color w:val="auto"/>
                <w:sz w:val="32"/>
                <w:szCs w:val="32"/>
                <w:lang w:val="en-US" w:bidi="ar"/>
              </w:rPr>
              <w:t>1.60</w:t>
            </w:r>
          </w:p>
        </w:tc>
        <w:tc>
          <w:tcPr>
            <w:tcW w:w="10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600" w:lineRule="exact"/>
              <w:jc w:val="center"/>
              <w:textAlignment w:val="center"/>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kern w:val="2"/>
                <w:sz w:val="32"/>
                <w:szCs w:val="32"/>
                <w:lang w:val="en-US" w:eastAsia="zh-CN"/>
              </w:rPr>
              <w:t>19.4</w:t>
            </w:r>
          </w:p>
        </w:tc>
        <w:tc>
          <w:tcPr>
            <w:tcW w:w="9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600" w:lineRule="exact"/>
              <w:jc w:val="center"/>
              <w:textAlignment w:val="center"/>
              <w:outlineLvl w:val="9"/>
              <w:rPr>
                <w:rFonts w:hint="eastAsia" w:ascii="仿宋_GB2312" w:hAnsi="仿宋_GB2312" w:eastAsia="仿宋_GB2312" w:cs="仿宋_GB2312"/>
                <w:b w:val="0"/>
                <w:bCs w:val="0"/>
                <w:color w:val="auto"/>
                <w:sz w:val="32"/>
                <w:szCs w:val="32"/>
                <w:lang w:val="en-US" w:eastAsia="zh-CN" w:bidi="zh-CN"/>
              </w:rPr>
            </w:pPr>
            <w:r>
              <w:rPr>
                <w:rFonts w:hint="eastAsia" w:ascii="仿宋_GB2312" w:hAnsi="仿宋_GB2312" w:eastAsia="仿宋_GB2312" w:cs="仿宋_GB2312"/>
                <w:b w:val="0"/>
                <w:bCs w:val="0"/>
                <w:color w:val="auto"/>
                <w:sz w:val="32"/>
                <w:szCs w:val="32"/>
                <w:lang w:val="en-US" w:bidi="ar"/>
              </w:rPr>
              <w:t>680</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600" w:lineRule="exact"/>
              <w:jc w:val="center"/>
              <w:textAlignment w:val="center"/>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bidi="ar"/>
              </w:rPr>
              <w:t>20</w:t>
            </w:r>
            <w:r>
              <w:rPr>
                <w:rFonts w:hint="eastAsia" w:ascii="仿宋_GB2312" w:hAnsi="仿宋_GB2312" w:eastAsia="仿宋_GB2312" w:cs="仿宋_GB2312"/>
                <w:b w:val="0"/>
                <w:bCs w:val="0"/>
                <w:color w:val="auto"/>
                <w:sz w:val="32"/>
                <w:szCs w:val="32"/>
                <w:lang w:val="en-US" w:eastAsia="zh-CN" w:bidi="ar"/>
              </w:rPr>
              <w:t>.0</w:t>
            </w:r>
          </w:p>
        </w:tc>
        <w:tc>
          <w:tcPr>
            <w:tcW w:w="10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600" w:lineRule="exact"/>
              <w:jc w:val="center"/>
              <w:textAlignment w:val="center"/>
              <w:outlineLvl w:val="9"/>
              <w:rPr>
                <w:rFonts w:hint="eastAsia" w:ascii="仿宋_GB2312" w:hAnsi="仿宋_GB2312" w:eastAsia="仿宋_GB2312" w:cs="仿宋_GB2312"/>
                <w:b w:val="0"/>
                <w:bCs w:val="0"/>
                <w:color w:val="auto"/>
                <w:sz w:val="32"/>
                <w:szCs w:val="32"/>
                <w:lang w:val="en-US" w:bidi="ar"/>
              </w:rPr>
            </w:pPr>
            <w:r>
              <w:rPr>
                <w:rFonts w:hint="eastAsia" w:ascii="仿宋_GB2312" w:hAnsi="仿宋_GB2312" w:eastAsia="仿宋_GB2312" w:cs="仿宋_GB2312"/>
                <w:b w:val="0"/>
                <w:bCs w:val="0"/>
                <w:color w:val="auto"/>
                <w:sz w:val="32"/>
                <w:szCs w:val="32"/>
                <w:lang w:val="en-US" w:bidi="ar"/>
              </w:rPr>
              <w:t>1.34</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600" w:lineRule="exact"/>
              <w:jc w:val="center"/>
              <w:textAlignment w:val="center"/>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kern w:val="2"/>
                <w:sz w:val="32"/>
                <w:szCs w:val="32"/>
                <w:lang w:val="en-US" w:eastAsia="zh-CN"/>
              </w:rPr>
              <w:t>16.1</w:t>
            </w:r>
          </w:p>
        </w:tc>
        <w:tc>
          <w:tcPr>
            <w:tcW w:w="939" w:type="dxa"/>
            <w:tcBorders>
              <w:top w:val="single" w:color="auto" w:sz="4" w:space="0"/>
              <w:left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spacing w:line="600" w:lineRule="exact"/>
              <w:jc w:val="center"/>
              <w:textAlignment w:val="center"/>
              <w:outlineLvl w:val="9"/>
              <w:rPr>
                <w:rFonts w:hint="eastAsia" w:ascii="仿宋_GB2312" w:hAnsi="仿宋_GB2312" w:eastAsia="仿宋_GB2312" w:cs="仿宋_GB2312"/>
                <w:b w:val="0"/>
                <w:bCs w:val="0"/>
                <w:color w:val="auto"/>
                <w:sz w:val="32"/>
                <w:szCs w:val="32"/>
                <w:lang w:val="en-US" w:eastAsia="zh-CN" w:bidi="zh-CN"/>
              </w:rPr>
            </w:pPr>
            <w:r>
              <w:rPr>
                <w:rFonts w:hint="eastAsia" w:ascii="仿宋_GB2312" w:hAnsi="仿宋_GB2312" w:eastAsia="仿宋_GB2312" w:cs="仿宋_GB2312"/>
                <w:b w:val="0"/>
                <w:bCs w:val="0"/>
                <w:color w:val="auto"/>
                <w:sz w:val="32"/>
                <w:szCs w:val="32"/>
                <w:lang w:val="en-US" w:bidi="ar"/>
              </w:rPr>
              <w:t>567</w:t>
            </w:r>
          </w:p>
        </w:tc>
      </w:tr>
      <w:tr>
        <w:tblPrEx>
          <w:tblBorders>
            <w:top w:val="thickThinMediumGap" w:color="auto" w:sz="12" w:space="0"/>
            <w:left w:val="thickThinMediumGap" w:color="auto" w:sz="12" w:space="0"/>
            <w:bottom w:val="thickThinMediumGap" w:color="auto" w:sz="12" w:space="0"/>
            <w:right w:val="thickThinMediumGap" w:color="auto" w:sz="12" w:space="0"/>
            <w:insideH w:val="none" w:color="auto" w:sz="0" w:space="0"/>
            <w:insideV w:val="none" w:color="auto" w:sz="0" w:space="0"/>
          </w:tblBorders>
          <w:tblCellMar>
            <w:top w:w="0" w:type="dxa"/>
            <w:left w:w="108" w:type="dxa"/>
            <w:bottom w:w="0" w:type="dxa"/>
            <w:right w:w="108" w:type="dxa"/>
          </w:tblCellMar>
        </w:tblPrEx>
        <w:trPr>
          <w:cantSplit/>
          <w:trHeight w:val="1838" w:hRule="atLeast"/>
          <w:jc w:val="center"/>
        </w:trPr>
        <w:tc>
          <w:tcPr>
            <w:tcW w:w="1116"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jc w:val="center"/>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分布</w:t>
            </w:r>
          </w:p>
          <w:p>
            <w:pPr>
              <w:keepNext w:val="0"/>
              <w:keepLines w:val="0"/>
              <w:pageBreakBefore w:val="0"/>
              <w:kinsoku/>
              <w:wordWrap/>
              <w:overflowPunct/>
              <w:topLinePunct w:val="0"/>
              <w:autoSpaceDE/>
              <w:autoSpaceDN/>
              <w:bidi w:val="0"/>
              <w:spacing w:line="600" w:lineRule="exact"/>
              <w:jc w:val="center"/>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情况</w:t>
            </w:r>
          </w:p>
        </w:tc>
        <w:tc>
          <w:tcPr>
            <w:tcW w:w="404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jc w:val="both"/>
              <w:textAlignment w:val="center"/>
              <w:outlineLvl w:val="9"/>
              <w:rPr>
                <w:rFonts w:hint="eastAsia" w:ascii="仿宋_GB2312" w:hAnsi="仿宋_GB2312" w:eastAsia="仿宋_GB2312" w:cs="仿宋_GB2312"/>
                <w:b w:val="0"/>
                <w:bCs w:val="0"/>
                <w:snapToGrid w:val="0"/>
                <w:color w:val="auto"/>
                <w:sz w:val="32"/>
                <w:szCs w:val="32"/>
              </w:rPr>
            </w:pPr>
            <w:r>
              <w:rPr>
                <w:rFonts w:hint="eastAsia" w:ascii="仿宋_GB2312" w:hAnsi="仿宋_GB2312" w:eastAsia="仿宋_GB2312" w:cs="仿宋_GB2312"/>
                <w:b w:val="0"/>
                <w:bCs w:val="0"/>
                <w:snapToGrid w:val="0"/>
                <w:color w:val="auto"/>
                <w:sz w:val="32"/>
                <w:szCs w:val="32"/>
              </w:rPr>
              <w:t>银州区：英城子村、前八里村、后八里村、牛岗子村、西辽海村、园艺村、柴河东村、柴河西村</w:t>
            </w:r>
          </w:p>
          <w:p>
            <w:pPr>
              <w:keepNext w:val="0"/>
              <w:keepLines w:val="0"/>
              <w:pageBreakBefore w:val="0"/>
              <w:kinsoku/>
              <w:wordWrap/>
              <w:overflowPunct/>
              <w:topLinePunct w:val="0"/>
              <w:autoSpaceDE/>
              <w:autoSpaceDN/>
              <w:bidi w:val="0"/>
              <w:spacing w:line="600" w:lineRule="exact"/>
              <w:jc w:val="both"/>
              <w:textAlignment w:val="center"/>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snapToGrid w:val="0"/>
                <w:color w:val="auto"/>
                <w:sz w:val="32"/>
                <w:szCs w:val="32"/>
              </w:rPr>
              <w:t>凡河新区</w:t>
            </w:r>
          </w:p>
        </w:tc>
        <w:tc>
          <w:tcPr>
            <w:tcW w:w="4035" w:type="dxa"/>
            <w:gridSpan w:val="4"/>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spacing w:line="600" w:lineRule="exact"/>
              <w:jc w:val="both"/>
              <w:textAlignment w:val="center"/>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snapToGrid w:val="0"/>
                <w:color w:val="auto"/>
                <w:sz w:val="32"/>
                <w:szCs w:val="32"/>
              </w:rPr>
              <w:t>银州区：七里屯村、地运所村、东辽海村、腰辽海村</w:t>
            </w:r>
          </w:p>
        </w:tc>
      </w:tr>
      <w:tr>
        <w:tblPrEx>
          <w:tblBorders>
            <w:top w:val="thickThinMediumGap" w:color="auto" w:sz="12" w:space="0"/>
            <w:left w:val="thickThinMediumGap" w:color="auto" w:sz="12" w:space="0"/>
            <w:bottom w:val="thickThinMediumGap" w:color="auto" w:sz="12" w:space="0"/>
            <w:right w:val="thickThinMediumGap" w:color="auto" w:sz="12" w:space="0"/>
            <w:insideH w:val="none" w:color="auto" w:sz="0" w:space="0"/>
            <w:insideV w:val="none" w:color="auto" w:sz="0" w:space="0"/>
          </w:tblBorders>
          <w:tblCellMar>
            <w:top w:w="0" w:type="dxa"/>
            <w:left w:w="108" w:type="dxa"/>
            <w:bottom w:w="0" w:type="dxa"/>
            <w:right w:w="108" w:type="dxa"/>
          </w:tblCellMar>
        </w:tblPrEx>
        <w:trPr>
          <w:cantSplit/>
          <w:trHeight w:val="924" w:hRule="atLeast"/>
          <w:jc w:val="center"/>
        </w:trPr>
        <w:tc>
          <w:tcPr>
            <w:tcW w:w="1116"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jc w:val="center"/>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面积/hm</w:t>
            </w:r>
            <w:r>
              <w:rPr>
                <w:rFonts w:hint="eastAsia" w:ascii="仿宋_GB2312" w:hAnsi="仿宋_GB2312" w:eastAsia="仿宋_GB2312" w:cs="仿宋_GB2312"/>
                <w:b w:val="0"/>
                <w:bCs w:val="0"/>
                <w:color w:val="auto"/>
                <w:sz w:val="32"/>
                <w:szCs w:val="32"/>
                <w:vertAlign w:val="superscript"/>
              </w:rPr>
              <w:t>2</w:t>
            </w:r>
          </w:p>
        </w:tc>
        <w:tc>
          <w:tcPr>
            <w:tcW w:w="404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jc w:val="center"/>
              <w:textAlignment w:val="center"/>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1896.57</w:t>
            </w:r>
          </w:p>
        </w:tc>
        <w:tc>
          <w:tcPr>
            <w:tcW w:w="4035" w:type="dxa"/>
            <w:gridSpan w:val="4"/>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spacing w:line="600" w:lineRule="exact"/>
              <w:jc w:val="center"/>
              <w:textAlignment w:val="center"/>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742.61</w:t>
            </w:r>
          </w:p>
        </w:tc>
      </w:tr>
      <w:tr>
        <w:tblPrEx>
          <w:tblBorders>
            <w:top w:val="thickThinMediumGap" w:color="auto" w:sz="12" w:space="0"/>
            <w:left w:val="thickThinMediumGap" w:color="auto" w:sz="12" w:space="0"/>
            <w:bottom w:val="thickThinMediumGap" w:color="auto" w:sz="12" w:space="0"/>
            <w:right w:val="thickThinMediumGap" w:color="auto" w:sz="12" w:space="0"/>
            <w:insideH w:val="none" w:color="auto" w:sz="0" w:space="0"/>
            <w:insideV w:val="none" w:color="auto" w:sz="0" w:space="0"/>
          </w:tblBorders>
          <w:tblCellMar>
            <w:top w:w="0" w:type="dxa"/>
            <w:left w:w="108" w:type="dxa"/>
            <w:bottom w:w="0" w:type="dxa"/>
            <w:right w:w="108" w:type="dxa"/>
          </w:tblCellMar>
        </w:tblPrEx>
        <w:trPr>
          <w:cantSplit/>
          <w:trHeight w:val="982" w:hRule="atLeast"/>
          <w:jc w:val="center"/>
        </w:trPr>
        <w:tc>
          <w:tcPr>
            <w:tcW w:w="1116" w:type="dxa"/>
            <w:tcBorders>
              <w:top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jc w:val="center"/>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所占比例/%</w:t>
            </w:r>
          </w:p>
        </w:tc>
        <w:tc>
          <w:tcPr>
            <w:tcW w:w="4047" w:type="dxa"/>
            <w:gridSpan w:val="4"/>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jc w:val="center"/>
              <w:textAlignment w:val="center"/>
              <w:outlineLvl w:val="9"/>
              <w:rPr>
                <w:rFonts w:hint="eastAsia" w:ascii="仿宋_GB2312" w:hAnsi="仿宋_GB2312" w:eastAsia="仿宋_GB2312" w:cs="仿宋_GB2312"/>
                <w:b w:val="0"/>
                <w:bCs w:val="0"/>
                <w:color w:val="auto"/>
                <w:sz w:val="32"/>
                <w:szCs w:val="32"/>
                <w:lang w:val="en-US"/>
              </w:rPr>
            </w:pPr>
            <w:r>
              <w:rPr>
                <w:rFonts w:hint="eastAsia" w:ascii="仿宋_GB2312" w:hAnsi="仿宋_GB2312" w:eastAsia="仿宋_GB2312" w:cs="仿宋_GB2312"/>
                <w:b w:val="0"/>
                <w:bCs w:val="0"/>
                <w:color w:val="auto"/>
                <w:sz w:val="32"/>
                <w:szCs w:val="32"/>
                <w:lang w:val="en-US"/>
              </w:rPr>
              <w:t>71.86%</w:t>
            </w:r>
          </w:p>
        </w:tc>
        <w:tc>
          <w:tcPr>
            <w:tcW w:w="4035" w:type="dxa"/>
            <w:gridSpan w:val="4"/>
            <w:tcBorders>
              <w:top w:val="single" w:color="auto" w:sz="4" w:space="0"/>
              <w:left w:val="single" w:color="auto" w:sz="4" w:space="0"/>
            </w:tcBorders>
            <w:noWrap w:val="0"/>
            <w:vAlign w:val="center"/>
          </w:tcPr>
          <w:p>
            <w:pPr>
              <w:keepNext w:val="0"/>
              <w:keepLines w:val="0"/>
              <w:pageBreakBefore w:val="0"/>
              <w:kinsoku/>
              <w:wordWrap/>
              <w:overflowPunct/>
              <w:topLinePunct w:val="0"/>
              <w:autoSpaceDE/>
              <w:autoSpaceDN/>
              <w:bidi w:val="0"/>
              <w:spacing w:line="600" w:lineRule="exact"/>
              <w:jc w:val="center"/>
              <w:textAlignment w:val="center"/>
              <w:outlineLvl w:val="9"/>
              <w:rPr>
                <w:rFonts w:hint="eastAsia" w:ascii="仿宋_GB2312" w:hAnsi="仿宋_GB2312" w:eastAsia="仿宋_GB2312" w:cs="仿宋_GB2312"/>
                <w:b w:val="0"/>
                <w:bCs w:val="0"/>
                <w:color w:val="auto"/>
                <w:sz w:val="32"/>
                <w:szCs w:val="32"/>
                <w:lang w:val="en-US"/>
              </w:rPr>
            </w:pPr>
            <w:r>
              <w:rPr>
                <w:rFonts w:hint="eastAsia" w:ascii="仿宋_GB2312" w:hAnsi="仿宋_GB2312" w:eastAsia="仿宋_GB2312" w:cs="仿宋_GB2312"/>
                <w:b w:val="0"/>
                <w:bCs w:val="0"/>
                <w:color w:val="auto"/>
                <w:sz w:val="32"/>
                <w:szCs w:val="32"/>
                <w:lang w:val="en-US"/>
              </w:rPr>
              <w:t>28.14%</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before="120" w:line="600" w:lineRule="exact"/>
        <w:ind w:leftChars="0" w:firstLine="640" w:firstLineChars="200"/>
        <w:jc w:val="left"/>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四、地价内涵</w:t>
      </w:r>
    </w:p>
    <w:p>
      <w:pPr>
        <w:keepNext w:val="0"/>
        <w:keepLines w:val="0"/>
        <w:pageBreakBefore w:val="0"/>
        <w:kinsoku/>
        <w:wordWrap/>
        <w:overflowPunct/>
        <w:topLinePunct w:val="0"/>
        <w:autoSpaceDE/>
        <w:autoSpaceDN/>
        <w:bidi w:val="0"/>
        <w:spacing w:line="600" w:lineRule="exact"/>
        <w:ind w:firstLine="560"/>
        <w:jc w:val="left"/>
        <w:rPr>
          <w:rFonts w:hint="eastAsia" w:ascii="仿宋_GB2312" w:hAnsi="仿宋_GB2312" w:eastAsia="仿宋_GB2312" w:cs="仿宋_GB2312"/>
          <w:b w:val="0"/>
          <w:bCs w:val="0"/>
          <w:color w:val="auto"/>
          <w:sz w:val="32"/>
          <w:szCs w:val="32"/>
          <w:lang w:val="en-US" w:eastAsia="zh-CN"/>
        </w:rPr>
      </w:pPr>
      <w:bookmarkStart w:id="6" w:name="_bookmark43"/>
      <w:bookmarkEnd w:id="6"/>
      <w:bookmarkStart w:id="7" w:name="二、农用地估价资料的收集与整理"/>
      <w:bookmarkEnd w:id="7"/>
      <w:r>
        <w:rPr>
          <w:rFonts w:hint="eastAsia" w:ascii="仿宋_GB2312" w:hAnsi="仿宋_GB2312" w:eastAsia="仿宋_GB2312" w:cs="仿宋_GB2312"/>
          <w:b w:val="0"/>
          <w:bCs w:val="0"/>
          <w:color w:val="auto"/>
          <w:sz w:val="32"/>
          <w:szCs w:val="32"/>
          <w:lang w:val="en-US" w:eastAsia="zh-CN"/>
        </w:rPr>
        <w:t>（一）土地权利。集体农用地承包经营权，是指采取农村集体经济组织内部的家庭承包方式，不宜采取家庭承包方式的荒山、荒沟、荒丘、荒滩等农村土地，可以采取招标、拍卖、公开协商等方式承包。农村土地承包后土地的所有权性质不变，承包地不得买卖。集体农用地经营权，是从农村土地承包经营权中分离出的一项权能，就是承包农户将其承包土地流转出去，由其他组织或者个人经营，其他组织或者个人取得土地经营权。</w:t>
      </w:r>
    </w:p>
    <w:p>
      <w:pPr>
        <w:keepNext w:val="0"/>
        <w:keepLines w:val="0"/>
        <w:pageBreakBefore w:val="0"/>
        <w:kinsoku/>
        <w:wordWrap/>
        <w:overflowPunct/>
        <w:topLinePunct w:val="0"/>
        <w:autoSpaceDE/>
        <w:autoSpaceDN/>
        <w:bidi w:val="0"/>
        <w:spacing w:line="600" w:lineRule="exact"/>
        <w:ind w:firstLine="560"/>
        <w:jc w:val="left"/>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lang w:val="en-US" w:eastAsia="zh-CN"/>
        </w:rPr>
        <w:t>（二）土地权利年期。集体农用地承包经营权设定为30年。</w:t>
      </w:r>
      <w:r>
        <w:rPr>
          <w:rFonts w:hint="eastAsia" w:ascii="仿宋_GB2312" w:hAnsi="仿宋_GB2312" w:eastAsia="仿宋_GB2312" w:cs="仿宋_GB2312"/>
          <w:b w:val="0"/>
          <w:bCs w:val="0"/>
          <w:i w:val="0"/>
          <w:iCs w:val="0"/>
          <w:color w:val="auto"/>
          <w:sz w:val="32"/>
          <w:szCs w:val="32"/>
          <w:u w:val="none"/>
          <w:lang w:val="en-US" w:eastAsia="zh-CN"/>
        </w:rPr>
        <w:t>集</w:t>
      </w:r>
      <w:r>
        <w:rPr>
          <w:rFonts w:hint="eastAsia" w:ascii="仿宋_GB2312" w:hAnsi="仿宋_GB2312" w:eastAsia="仿宋_GB2312" w:cs="仿宋_GB2312"/>
          <w:b w:val="0"/>
          <w:bCs w:val="0"/>
          <w:color w:val="auto"/>
          <w:sz w:val="32"/>
          <w:szCs w:val="32"/>
          <w:u w:val="none"/>
          <w:lang w:val="en-US" w:eastAsia="zh-CN"/>
        </w:rPr>
        <w:t xml:space="preserve">体农用地经营权不超过承包经营权法定最高年期，分别设定为30年和1年（年租金）。 </w:t>
      </w:r>
    </w:p>
    <w:p>
      <w:pPr>
        <w:keepNext w:val="0"/>
        <w:keepLines w:val="0"/>
        <w:pageBreakBefore w:val="0"/>
        <w:kinsoku/>
        <w:wordWrap/>
        <w:overflowPunct/>
        <w:topLinePunct w:val="0"/>
        <w:autoSpaceDE/>
        <w:autoSpaceDN/>
        <w:bidi w:val="0"/>
        <w:spacing w:line="600" w:lineRule="exact"/>
        <w:ind w:firstLine="560"/>
        <w:jc w:val="left"/>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（三）用地类型。水田、水浇地、旱地。</w:t>
      </w:r>
    </w:p>
    <w:p>
      <w:pPr>
        <w:keepNext w:val="0"/>
        <w:keepLines w:val="0"/>
        <w:pageBreakBefore w:val="0"/>
        <w:kinsoku/>
        <w:wordWrap/>
        <w:overflowPunct/>
        <w:topLinePunct w:val="0"/>
        <w:autoSpaceDE/>
        <w:autoSpaceDN/>
        <w:bidi w:val="0"/>
        <w:spacing w:line="600" w:lineRule="exact"/>
        <w:ind w:firstLine="640" w:firstLineChars="200"/>
        <w:jc w:val="left"/>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（四）耕作制度。一年一熟。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（五）农田基本设施状况</w:t>
      </w:r>
    </w:p>
    <w:tbl>
      <w:tblPr>
        <w:tblStyle w:val="9"/>
        <w:tblW w:w="8879"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autofit"/>
        <w:tblCellMar>
          <w:top w:w="0" w:type="dxa"/>
          <w:left w:w="108" w:type="dxa"/>
          <w:bottom w:w="0" w:type="dxa"/>
          <w:right w:w="108" w:type="dxa"/>
        </w:tblCellMar>
      </w:tblPr>
      <w:tblGrid>
        <w:gridCol w:w="1911"/>
        <w:gridCol w:w="6968"/>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89" w:hRule="atLeast"/>
          <w:jc w:val="center"/>
        </w:trPr>
        <w:tc>
          <w:tcPr>
            <w:tcW w:w="1911" w:type="dxa"/>
            <w:tcBorders>
              <w:top w:val="single" w:color="auto" w:sz="12" w:space="0"/>
              <w:left w:val="single" w:color="auto" w:sz="12"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firstLine="0"/>
              <w:jc w:val="center"/>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主要用地类型</w:t>
            </w:r>
          </w:p>
        </w:tc>
        <w:tc>
          <w:tcPr>
            <w:tcW w:w="6968" w:type="dxa"/>
            <w:tcBorders>
              <w:top w:val="single" w:color="auto" w:sz="12" w:space="0"/>
              <w:left w:val="single" w:color="auto" w:sz="4" w:space="0"/>
              <w:bottom w:val="single" w:color="auto" w:sz="4"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firstLine="0"/>
              <w:jc w:val="center"/>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基本设施状况</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66" w:hRule="atLeast"/>
          <w:jc w:val="center"/>
        </w:trPr>
        <w:tc>
          <w:tcPr>
            <w:tcW w:w="1911"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firstLine="0"/>
              <w:jc w:val="center"/>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水田</w:t>
            </w:r>
          </w:p>
        </w:tc>
        <w:tc>
          <w:tcPr>
            <w:tcW w:w="6968"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firstLine="0"/>
              <w:jc w:val="center"/>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通生产作业路，具有灌溉及排水条件，土地平整，具备耕种条件</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66" w:hRule="atLeast"/>
          <w:jc w:val="center"/>
        </w:trPr>
        <w:tc>
          <w:tcPr>
            <w:tcW w:w="1911"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firstLine="0"/>
              <w:jc w:val="center"/>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水浇地</w:t>
            </w:r>
          </w:p>
        </w:tc>
        <w:tc>
          <w:tcPr>
            <w:tcW w:w="6968"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firstLine="0"/>
              <w:jc w:val="center"/>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通生产作业路，具有灌溉及排水条件，土地平整，具备耕种条件</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78" w:hRule="atLeast"/>
          <w:jc w:val="center"/>
        </w:trPr>
        <w:tc>
          <w:tcPr>
            <w:tcW w:w="1911"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firstLine="0"/>
              <w:jc w:val="center"/>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旱地</w:t>
            </w:r>
          </w:p>
        </w:tc>
        <w:tc>
          <w:tcPr>
            <w:tcW w:w="6968"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firstLine="0"/>
              <w:jc w:val="center"/>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通生产作业路，土地平整，具备耕种条件</w:t>
            </w:r>
          </w:p>
        </w:tc>
      </w:tr>
    </w:tbl>
    <w:p>
      <w:pPr>
        <w:keepNext w:val="0"/>
        <w:keepLines w:val="0"/>
        <w:pageBreakBefore w:val="0"/>
        <w:kinsoku/>
        <w:wordWrap/>
        <w:overflowPunct/>
        <w:topLinePunct w:val="0"/>
        <w:autoSpaceDE/>
        <w:autoSpaceDN/>
        <w:bidi w:val="0"/>
        <w:spacing w:line="600" w:lineRule="exact"/>
        <w:ind w:firstLine="560"/>
        <w:jc w:val="left"/>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（六）评估期日。设定为2021年1月1日。</w:t>
      </w:r>
    </w:p>
    <w:sectPr>
      <w:footerReference r:id="rId3" w:type="default"/>
      <w:pgSz w:w="11906" w:h="16838"/>
      <w:pgMar w:top="1440" w:right="1655" w:bottom="1440" w:left="1103" w:header="851" w:footer="992" w:gutter="0"/>
      <w:pgBorders>
        <w:top w:val="none" w:sz="0" w:space="0"/>
        <w:left w:val="none" w:sz="0" w:space="0"/>
        <w:bottom w:val="none" w:sz="0" w:space="0"/>
        <w:right w:val="none" w:sz="0" w:space="0"/>
      </w:pgBorders>
      <w:pgNumType w:fmt="decimal" w:start="1"/>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隶书_GBK">
    <w:altName w:val="隶书"/>
    <w:panose1 w:val="02000000000000000000"/>
    <w:charset w:val="86"/>
    <w:family w:val="auto"/>
    <w:pitch w:val="default"/>
    <w:sig w:usb0="00000000" w:usb1="00000000" w:usb2="00000000" w:usb3="00000000" w:csb0="00040000" w:csb1="00000000"/>
  </w:font>
  <w:font w:name="隶书">
    <w:panose1 w:val="0201050906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00000000000000000"/>
    <w:charset w:val="86"/>
    <w:family w:val="script"/>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enter" w:pos="4574"/>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943FBFC"/>
    <w:multiLevelType w:val="singleLevel"/>
    <w:tmpl w:val="E943FBFC"/>
    <w:lvl w:ilvl="0" w:tentative="0">
      <w:start w:val="3"/>
      <w:numFmt w:val="chineseCounting"/>
      <w:suff w:val="nothing"/>
      <w:lvlText w:val="%1、"/>
      <w:lvlJc w:val="left"/>
      <w:rPr>
        <w:rFonts w:hint="eastAsia"/>
      </w:rPr>
    </w:lvl>
  </w:abstractNum>
  <w:abstractNum w:abstractNumId="1">
    <w:nsid w:val="7604232D"/>
    <w:multiLevelType w:val="singleLevel"/>
    <w:tmpl w:val="7604232D"/>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yODNhZGQ1YzA0ZDBlYjY2YmI4ZDBjYmE2MzE5OTYifQ=="/>
  </w:docVars>
  <w:rsids>
    <w:rsidRoot w:val="00000000"/>
    <w:rsid w:val="00EE0556"/>
    <w:rsid w:val="015D7E49"/>
    <w:rsid w:val="051B6130"/>
    <w:rsid w:val="056B3129"/>
    <w:rsid w:val="0A40121D"/>
    <w:rsid w:val="0BB97992"/>
    <w:rsid w:val="0CCE0D62"/>
    <w:rsid w:val="0CFE7E0D"/>
    <w:rsid w:val="0D162709"/>
    <w:rsid w:val="12AB7B89"/>
    <w:rsid w:val="12C6225E"/>
    <w:rsid w:val="14080FA5"/>
    <w:rsid w:val="144F679D"/>
    <w:rsid w:val="15250FCE"/>
    <w:rsid w:val="153B3F0D"/>
    <w:rsid w:val="15D91091"/>
    <w:rsid w:val="163D4862"/>
    <w:rsid w:val="1B0034A2"/>
    <w:rsid w:val="1C2F2E9F"/>
    <w:rsid w:val="20127DFC"/>
    <w:rsid w:val="2163669C"/>
    <w:rsid w:val="21BA62B5"/>
    <w:rsid w:val="240F3CE2"/>
    <w:rsid w:val="273121C1"/>
    <w:rsid w:val="27DD53E8"/>
    <w:rsid w:val="2A1C3B9F"/>
    <w:rsid w:val="2B3929B8"/>
    <w:rsid w:val="2BB86A0D"/>
    <w:rsid w:val="2C225051"/>
    <w:rsid w:val="2CCF138D"/>
    <w:rsid w:val="2D1C042F"/>
    <w:rsid w:val="2E3B213B"/>
    <w:rsid w:val="2FBA5573"/>
    <w:rsid w:val="31E7247C"/>
    <w:rsid w:val="31F24C24"/>
    <w:rsid w:val="330433EE"/>
    <w:rsid w:val="34401562"/>
    <w:rsid w:val="34781D8D"/>
    <w:rsid w:val="353429F2"/>
    <w:rsid w:val="35A42DDB"/>
    <w:rsid w:val="38012015"/>
    <w:rsid w:val="384E5368"/>
    <w:rsid w:val="387E7B23"/>
    <w:rsid w:val="39CA5389"/>
    <w:rsid w:val="3CAF5C0A"/>
    <w:rsid w:val="3D2008B6"/>
    <w:rsid w:val="3EB7645F"/>
    <w:rsid w:val="3EE85802"/>
    <w:rsid w:val="3F11495A"/>
    <w:rsid w:val="3FFFBD90"/>
    <w:rsid w:val="40015EF1"/>
    <w:rsid w:val="42504698"/>
    <w:rsid w:val="42E45EE2"/>
    <w:rsid w:val="44913E48"/>
    <w:rsid w:val="46564E43"/>
    <w:rsid w:val="4851401A"/>
    <w:rsid w:val="49953172"/>
    <w:rsid w:val="4A161FAA"/>
    <w:rsid w:val="4A422570"/>
    <w:rsid w:val="4A5D1AC4"/>
    <w:rsid w:val="4C366B63"/>
    <w:rsid w:val="4E646F2C"/>
    <w:rsid w:val="4EC45545"/>
    <w:rsid w:val="519C16D9"/>
    <w:rsid w:val="51BA49DE"/>
    <w:rsid w:val="53B67B2A"/>
    <w:rsid w:val="54CB6F02"/>
    <w:rsid w:val="551558BC"/>
    <w:rsid w:val="551D2175"/>
    <w:rsid w:val="59275225"/>
    <w:rsid w:val="592A069B"/>
    <w:rsid w:val="5A873672"/>
    <w:rsid w:val="5B9F7320"/>
    <w:rsid w:val="5BDA4369"/>
    <w:rsid w:val="5BE865EB"/>
    <w:rsid w:val="5DB41770"/>
    <w:rsid w:val="5DEE6081"/>
    <w:rsid w:val="5EFA0B0F"/>
    <w:rsid w:val="61C55F83"/>
    <w:rsid w:val="62422689"/>
    <w:rsid w:val="62A93D66"/>
    <w:rsid w:val="63C24D92"/>
    <w:rsid w:val="650C50F9"/>
    <w:rsid w:val="6557369D"/>
    <w:rsid w:val="68814740"/>
    <w:rsid w:val="68ED3493"/>
    <w:rsid w:val="6E2960E4"/>
    <w:rsid w:val="6F3D10E9"/>
    <w:rsid w:val="6FE50A20"/>
    <w:rsid w:val="70A73F27"/>
    <w:rsid w:val="71ED62B2"/>
    <w:rsid w:val="720145A8"/>
    <w:rsid w:val="721A055A"/>
    <w:rsid w:val="72C40B25"/>
    <w:rsid w:val="747B4AC2"/>
    <w:rsid w:val="752C70F1"/>
    <w:rsid w:val="75354872"/>
    <w:rsid w:val="756013B5"/>
    <w:rsid w:val="763B459B"/>
    <w:rsid w:val="781C344D"/>
    <w:rsid w:val="7B531AAE"/>
    <w:rsid w:val="7B6E6ACE"/>
    <w:rsid w:val="7DF98EF5"/>
    <w:rsid w:val="7EA366EB"/>
    <w:rsid w:val="7F7AE66D"/>
    <w:rsid w:val="7FDD2E1F"/>
    <w:rsid w:val="7FDE4F57"/>
    <w:rsid w:val="CDFF1EA8"/>
    <w:rsid w:val="DEFAA7DA"/>
    <w:rsid w:val="F6D354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3" w:lineRule="auto"/>
      <w:outlineLvl w:val="1"/>
    </w:pPr>
    <w:rPr>
      <w:rFonts w:ascii="Arial" w:hAnsi="Arial" w:eastAsia="黑体"/>
      <w:b/>
      <w:sz w:val="32"/>
    </w:rPr>
  </w:style>
  <w:style w:type="paragraph" w:styleId="3">
    <w:name w:val="heading 3"/>
    <w:basedOn w:val="4"/>
    <w:next w:val="4"/>
    <w:qFormat/>
    <w:uiPriority w:val="9"/>
    <w:pPr>
      <w:keepNext/>
      <w:keepLines/>
      <w:spacing w:before="260" w:after="260" w:line="416" w:lineRule="auto"/>
      <w:outlineLvl w:val="2"/>
    </w:pPr>
    <w:rPr>
      <w:b/>
      <w:bCs/>
      <w:sz w:val="32"/>
      <w:szCs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0"/>
    <w:pPr>
      <w:ind w:firstLine="420"/>
    </w:pPr>
    <w:rPr>
      <w:rFonts w:ascii="Calibri" w:hAnsi="Calibri"/>
      <w:szCs w:val="20"/>
    </w:rPr>
  </w:style>
  <w:style w:type="paragraph" w:styleId="5">
    <w:name w:val="Body Text Indent 2"/>
    <w:basedOn w:val="1"/>
    <w:unhideWhenUsed/>
    <w:qFormat/>
    <w:uiPriority w:val="99"/>
    <w:pPr>
      <w:spacing w:after="120" w:afterLines="0" w:afterAutospacing="0" w:line="480" w:lineRule="auto"/>
      <w:ind w:left="420" w:leftChars="2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paragraph" w:customStyle="1" w:styleId="11">
    <w:name w:val="样式1"/>
    <w:basedOn w:val="4"/>
    <w:qFormat/>
    <w:uiPriority w:val="0"/>
    <w:rPr>
      <w:rFonts w:ascii="宋体"/>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1947</Words>
  <Characters>2160</Characters>
  <Lines>0</Lines>
  <Paragraphs>0</Paragraphs>
  <TotalTime>28</TotalTime>
  <ScaleCrop>false</ScaleCrop>
  <LinksUpToDate>false</LinksUpToDate>
  <CharactersWithSpaces>2248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2022-11-09T08:46:00Z</dcterms:created>
  <dc:creator>Administrator</dc:creator>
  <cp:lastModifiedBy>Administrator</cp:lastModifiedBy>
  <cp:lastPrinted>2022-11-17T00:51:00Z</cp:lastPrinted>
  <dcterms:modified xsi:type="dcterms:W3CDTF">2022-11-17T01:36:33Z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53084C0FF2B2435CB832E855F0250C08</vt:lpwstr>
  </property>
</Properties>
</file>